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/>
    <w:p/>
    <w:p/>
    <w:p/>
    <w:p/>
    <w:p/>
    <w:p>
      <w:bookmarkStart w:id="2" w:name="_GoBack"/>
      <w:bookmarkEnd w:id="2"/>
    </w:p>
    <w:p>
      <w:pPr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信用评价操作手册</w:t>
      </w:r>
    </w:p>
    <w:p/>
    <w:p/>
    <w:p/>
    <w:p/>
    <w:p/>
    <w:p/>
    <w:p/>
    <w:p/>
    <w:p/>
    <w:p/>
    <w:p/>
    <w:p>
      <w:pPr>
        <w:pStyle w:val="26"/>
      </w:pPr>
    </w:p>
    <w:p>
      <w:pPr>
        <w:ind w:firstLine="480"/>
      </w:pPr>
    </w:p>
    <w:p>
      <w:pPr>
        <w:ind w:firstLine="480"/>
        <w:sectPr>
          <w:headerReference r:id="rId3" w:type="default"/>
          <w:footerReference r:id="rId4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</w:pPr>
      <w:bookmarkStart w:id="0" w:name="_Toc27494214"/>
      <w:r>
        <w:rPr>
          <w:rFonts w:hint="eastAsia"/>
        </w:rPr>
        <w:t>一</w:t>
      </w:r>
      <w:bookmarkEnd w:id="0"/>
      <w:r>
        <w:rPr>
          <w:rFonts w:hint="eastAsia"/>
        </w:rPr>
        <w:t>、信用评价</w:t>
      </w:r>
    </w:p>
    <w:p>
      <w:pPr>
        <w:ind w:firstLine="480"/>
      </w:pPr>
      <w:r>
        <w:rPr>
          <w:rFonts w:hint="eastAsia"/>
        </w:rPr>
        <w:t>监管单位通过[评价指标配置]功能，配置各区域项目评价的规则及评价指标。采购人、代理机构、评审专家、供应商通过[项目评价</w:t>
      </w:r>
      <w:r>
        <w:t>]</w:t>
      </w:r>
      <w:r>
        <w:rPr>
          <w:rFonts w:hint="eastAsia"/>
        </w:rPr>
        <w:t>功能根据进行评价。监管单位通过[项目评价</w:t>
      </w:r>
      <w:r>
        <w:t>]</w:t>
      </w:r>
      <w:r>
        <w:rPr>
          <w:rFonts w:hint="eastAsia"/>
        </w:rPr>
        <w:t>功能查看项目的各单位评价信息。</w:t>
      </w:r>
    </w:p>
    <w:p>
      <w:pPr>
        <w:pStyle w:val="4"/>
        <w:rPr>
          <w:bCs w:val="0"/>
        </w:rPr>
      </w:pPr>
      <w:r>
        <w:rPr>
          <w:rFonts w:hint="eastAsia"/>
        </w:rPr>
        <w:t>1、评价规则及指标的配置</w:t>
      </w:r>
    </w:p>
    <w:p>
      <w:pPr>
        <w:ind w:firstLine="480"/>
      </w:pPr>
      <w:r>
        <w:rPr>
          <w:rFonts w:hint="eastAsia"/>
        </w:rPr>
        <w:t>监管单位登陆系统，点击[评价管理</w:t>
      </w:r>
      <w:r>
        <w:t>]-</w:t>
      </w:r>
      <w:r>
        <w:rPr>
          <w:rFonts w:hint="eastAsia"/>
        </w:rPr>
        <w:t>[评价指标配置</w:t>
      </w:r>
      <w:r>
        <w:t>]</w:t>
      </w:r>
      <w:r>
        <w:rPr>
          <w:rFonts w:hint="eastAsia"/>
        </w:rPr>
        <w:t>菜单，进入评价规则列表页面。</w:t>
      </w:r>
    </w:p>
    <w:p>
      <w:r>
        <w:drawing>
          <wp:inline distT="0" distB="0" distL="0" distR="0">
            <wp:extent cx="5274310" cy="271081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10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1</w:t>
      </w:r>
      <w:r>
        <w:rPr>
          <w:rFonts w:hint="eastAsia"/>
        </w:rPr>
        <w:t>评价指标配置功能页面）</w:t>
      </w:r>
    </w:p>
    <w:p>
      <w:r>
        <w:drawing>
          <wp:inline distT="0" distB="0" distL="0" distR="0">
            <wp:extent cx="5274310" cy="146939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46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2</w:t>
      </w:r>
      <w:r>
        <w:rPr>
          <w:rFonts w:hint="eastAsia"/>
        </w:rPr>
        <w:t>评价规则配置列表页面）</w:t>
      </w:r>
    </w:p>
    <w:p>
      <w:pPr>
        <w:pStyle w:val="3"/>
      </w:pPr>
      <w:bookmarkStart w:id="1" w:name="_Hlk121129822"/>
      <w:r>
        <w:rPr>
          <w:rFonts w:hint="eastAsia"/>
        </w:rPr>
        <w:t>1.1监管单位</w:t>
      </w:r>
      <w:bookmarkEnd w:id="1"/>
      <w:r>
        <w:rPr>
          <w:rFonts w:hint="eastAsia"/>
        </w:rPr>
        <w:t>对本区域的评价规则及指标进行配置</w:t>
      </w:r>
    </w:p>
    <w:p>
      <w:pPr>
        <w:pStyle w:val="5"/>
      </w:pPr>
      <w:r>
        <w:rPr>
          <w:rFonts w:hint="eastAsia"/>
        </w:rPr>
        <w:t>1.1.1添加、修改评价规则</w:t>
      </w:r>
    </w:p>
    <w:p>
      <w:pPr>
        <w:ind w:firstLine="480"/>
      </w:pPr>
      <w:r>
        <w:rPr>
          <w:rFonts w:hint="eastAsia"/>
        </w:rPr>
        <w:t>进入评价规则配置列表，点击“新增”按钮，进入编辑评价规则页面，填写相关信息后，进行保存。关键步骤如下图所示：</w:t>
      </w:r>
    </w:p>
    <w:p>
      <w:r>
        <w:drawing>
          <wp:inline distT="0" distB="0" distL="0" distR="0">
            <wp:extent cx="5274310" cy="2698115"/>
            <wp:effectExtent l="0" t="0" r="2540" b="698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8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3</w:t>
      </w:r>
      <w:r>
        <w:rPr>
          <w:rFonts w:hint="eastAsia"/>
        </w:rPr>
        <w:t>评价规则配置编辑页面）</w:t>
      </w:r>
    </w:p>
    <w:p>
      <w:pPr>
        <w:rPr>
          <w:b/>
          <w:bCs/>
        </w:rPr>
      </w:pPr>
      <w:r>
        <w:rPr>
          <w:rFonts w:hint="eastAsia"/>
          <w:b/>
          <w:bCs/>
        </w:rPr>
        <w:t>注意事项：</w:t>
      </w:r>
    </w:p>
    <w:p>
      <w:pPr>
        <w:ind w:firstLine="420"/>
        <w:rPr>
          <w:b/>
          <w:bCs/>
        </w:rPr>
      </w:pPr>
      <w:r>
        <w:rPr>
          <w:rFonts w:hint="eastAsia"/>
          <w:b/>
          <w:bCs/>
        </w:rPr>
        <w:t>1、评价主体对被评价主体的评价，一个评价环节只能配置一次。</w:t>
      </w:r>
    </w:p>
    <w:p>
      <w:pPr>
        <w:ind w:firstLine="420"/>
        <w:rPr>
          <w:b/>
          <w:bCs/>
        </w:rPr>
      </w:pPr>
      <w:r>
        <w:rPr>
          <w:b/>
          <w:bCs/>
        </w:rPr>
        <w:t>2</w:t>
      </w:r>
      <w:r>
        <w:rPr>
          <w:rFonts w:hint="eastAsia"/>
          <w:b/>
          <w:bCs/>
        </w:rPr>
        <w:t>、评价截止工作日天数只能输入1-</w:t>
      </w:r>
      <w:r>
        <w:rPr>
          <w:b/>
          <w:bCs/>
        </w:rPr>
        <w:t>99</w:t>
      </w:r>
      <w:r>
        <w:rPr>
          <w:rFonts w:hint="eastAsia"/>
          <w:b/>
          <w:bCs/>
        </w:rPr>
        <w:t>之间的整数。</w:t>
      </w:r>
    </w:p>
    <w:p>
      <w:pPr>
        <w:ind w:firstLine="420"/>
        <w:rPr>
          <w:b/>
          <w:bCs/>
        </w:rPr>
      </w:pPr>
      <w:r>
        <w:rPr>
          <w:rFonts w:hint="eastAsia"/>
          <w:b/>
          <w:bCs/>
        </w:rPr>
        <w:t>3、如果设置追评，必须设置追评结束工作日天数，且不能小于评价截止工作日天数。</w:t>
      </w:r>
    </w:p>
    <w:p>
      <w:pPr>
        <w:pStyle w:val="5"/>
      </w:pPr>
      <w:r>
        <w:rPr>
          <w:rFonts w:hint="eastAsia"/>
        </w:rPr>
        <w:t>1.1.2定义评价指标</w:t>
      </w:r>
    </w:p>
    <w:p>
      <w:pPr>
        <w:ind w:firstLine="420"/>
        <w:rPr>
          <w:b/>
        </w:rPr>
      </w:pPr>
      <w:r>
        <w:rPr>
          <w:rFonts w:hint="eastAsia"/>
        </w:rPr>
        <w:t>在评价规则配置列表，点击“定义评价指标”按钮，进入定义评价列表页面，在此页面可以新增、编辑、删除以及对评价指标进行排序的功能。关键步骤如下图所示：</w:t>
      </w:r>
      <w:r>
        <w:rPr>
          <w:rFonts w:hint="eastAsia"/>
        </w:rPr>
        <w:tab/>
      </w:r>
    </w:p>
    <w:p>
      <w:r>
        <w:drawing>
          <wp:inline distT="0" distB="0" distL="114300" distR="114300">
            <wp:extent cx="5269230" cy="2411095"/>
            <wp:effectExtent l="0" t="0" r="7620" b="825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4</w:t>
      </w:r>
      <w:r>
        <w:rPr>
          <w:rFonts w:hint="eastAsia"/>
        </w:rPr>
        <w:t>评价规则配置列表页面--定义评价指标）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5</w:t>
      </w:r>
      <w:r>
        <w:rPr>
          <w:rFonts w:hint="eastAsia"/>
        </w:rPr>
        <w:t>定义评价指标列表页面）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6</w:t>
      </w:r>
      <w:r>
        <w:rPr>
          <w:rFonts w:hint="eastAsia"/>
        </w:rPr>
        <w:t>评价指标编辑页面）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7</w:t>
      </w:r>
      <w:r>
        <w:rPr>
          <w:rFonts w:hint="eastAsia"/>
        </w:rPr>
        <w:t>评价指标排序页面）</w:t>
      </w:r>
    </w:p>
    <w:p>
      <w:pPr>
        <w:rPr>
          <w:b/>
          <w:bCs/>
        </w:rPr>
      </w:pPr>
      <w:r>
        <w:rPr>
          <w:rFonts w:hint="eastAsia"/>
          <w:b/>
          <w:bCs/>
        </w:rPr>
        <w:t>注意事项：</w:t>
      </w:r>
    </w:p>
    <w:p>
      <w:pPr>
        <w:ind w:firstLine="420"/>
        <w:rPr>
          <w:b/>
          <w:bCs/>
        </w:rPr>
      </w:pPr>
      <w:r>
        <w:rPr>
          <w:b/>
          <w:bCs/>
        </w:rPr>
        <w:t>1</w:t>
      </w:r>
      <w:r>
        <w:rPr>
          <w:rFonts w:hint="eastAsia"/>
          <w:b/>
          <w:bCs/>
        </w:rPr>
        <w:t>、评价指标所占分值不能超过99.9。</w:t>
      </w:r>
    </w:p>
    <w:p>
      <w:pPr>
        <w:ind w:firstLine="420"/>
        <w:rPr>
          <w:b/>
          <w:bCs/>
        </w:rPr>
      </w:pPr>
      <w:r>
        <w:rPr>
          <w:rFonts w:hint="eastAsia"/>
          <w:b/>
          <w:bCs/>
        </w:rPr>
        <w:t>2、排序时使用鼠标拖拽进行排序，排完序后点击“保存”按钮，保存拖拽后的指标顺序。</w:t>
      </w:r>
    </w:p>
    <w:p>
      <w:pPr>
        <w:ind w:firstLine="420"/>
        <w:rPr>
          <w:b/>
          <w:bCs/>
        </w:rPr>
      </w:pPr>
      <w:r>
        <w:rPr>
          <w:rFonts w:hint="eastAsia"/>
          <w:b/>
          <w:bCs/>
        </w:rPr>
        <w:t>3、如果评价规则配置时不能进行追评，评价指标录入时是否可追评默认为否，且不能修改。</w:t>
      </w:r>
    </w:p>
    <w:p>
      <w:pPr>
        <w:pStyle w:val="5"/>
      </w:pPr>
      <w:r>
        <w:rPr>
          <w:rFonts w:hint="eastAsia"/>
        </w:rPr>
        <w:t>1.1.3评价规则的查看</w:t>
      </w:r>
    </w:p>
    <w:p>
      <w:pPr>
        <w:ind w:firstLine="240"/>
      </w:pPr>
      <w:r>
        <w:rPr>
          <w:rFonts w:hint="eastAsia"/>
        </w:rPr>
        <w:t>在评价规则配置列表，点击“查看”按钮，即可实现对规则及指标详细信息进行查看。具体效果如下图所示：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8</w:t>
      </w:r>
      <w:r>
        <w:rPr>
          <w:rFonts w:hint="eastAsia"/>
        </w:rPr>
        <w:t>评价规则配置列表页面--查看评价规则）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9</w:t>
      </w:r>
      <w:r>
        <w:rPr>
          <w:rFonts w:hint="eastAsia"/>
        </w:rPr>
        <w:t>评价规则查看页面）</w:t>
      </w:r>
    </w:p>
    <w:p>
      <w:pPr>
        <w:pStyle w:val="5"/>
      </w:pPr>
      <w:r>
        <w:rPr>
          <w:rFonts w:hint="eastAsia"/>
        </w:rPr>
        <w:t>1.1.4评价规则的启用、禁用</w:t>
      </w:r>
    </w:p>
    <w:p>
      <w:pPr>
        <w:ind w:firstLine="240"/>
      </w:pPr>
      <w:r>
        <w:rPr>
          <w:rFonts w:hint="eastAsia"/>
        </w:rPr>
        <w:t>在评价规则配置列表，点击“启用”和“禁用”按钮，可以对规则的有效性进行设置，进行项目评价时根据启用的评价规则进行打分。关键步骤如下图所示：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10</w:t>
      </w:r>
      <w:r>
        <w:rPr>
          <w:rFonts w:hint="eastAsia"/>
        </w:rPr>
        <w:t>评价规则配置列表页面--启用评价规则）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1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（图1</w:t>
      </w:r>
      <w:r>
        <w:t>1</w:t>
      </w:r>
      <w:r>
        <w:rPr>
          <w:rFonts w:hint="eastAsia"/>
        </w:rPr>
        <w:t>评价规则配置列表页面--禁用评价规则）</w:t>
      </w:r>
    </w:p>
    <w:p>
      <w:pPr>
        <w:rPr>
          <w:b/>
          <w:bCs/>
        </w:rPr>
      </w:pPr>
      <w:r>
        <w:rPr>
          <w:rFonts w:hint="eastAsia"/>
          <w:b/>
          <w:bCs/>
        </w:rPr>
        <w:t>注意事项：</w:t>
      </w:r>
    </w:p>
    <w:p>
      <w:pPr>
        <w:ind w:firstLine="420"/>
        <w:rPr>
          <w:b/>
          <w:bCs/>
        </w:rPr>
      </w:pPr>
      <w:r>
        <w:rPr>
          <w:rFonts w:hint="eastAsia"/>
          <w:b/>
          <w:bCs/>
        </w:rPr>
        <w:t>1、请在配置评价规则、评价指标完毕后再点击“启用”按钮，启用后本规则只能进行查看及禁用操作。</w:t>
      </w:r>
    </w:p>
    <w:p>
      <w:pPr>
        <w:ind w:firstLine="420"/>
        <w:rPr>
          <w:b/>
          <w:bCs/>
        </w:rPr>
      </w:pPr>
      <w:r>
        <w:rPr>
          <w:b/>
          <w:bCs/>
        </w:rPr>
        <w:t>2</w:t>
      </w:r>
      <w:r>
        <w:rPr>
          <w:rFonts w:hint="eastAsia"/>
          <w:b/>
          <w:bCs/>
        </w:rPr>
        <w:t>、若想编辑或者删除，需要禁用规则后再进行设置。</w:t>
      </w:r>
    </w:p>
    <w:p>
      <w:pPr>
        <w:ind w:firstLine="420"/>
        <w:rPr>
          <w:b/>
          <w:bCs/>
        </w:rPr>
      </w:pPr>
      <w:r>
        <w:rPr>
          <w:b/>
          <w:bCs/>
        </w:rPr>
        <w:t>3</w:t>
      </w:r>
      <w:r>
        <w:rPr>
          <w:rFonts w:hint="eastAsia"/>
          <w:b/>
          <w:bCs/>
        </w:rPr>
        <w:t>、如果评价规则设置的可追评，则评价指标中必须有可追评的指标。</w:t>
      </w:r>
    </w:p>
    <w:p>
      <w:pPr>
        <w:pStyle w:val="5"/>
      </w:pPr>
      <w:r>
        <w:rPr>
          <w:rFonts w:hint="eastAsia"/>
        </w:rPr>
        <w:t>1.1.5评价规则的复制</w:t>
      </w:r>
    </w:p>
    <w:p>
      <w:pPr>
        <w:ind w:firstLine="240"/>
      </w:pPr>
      <w:r>
        <w:rPr>
          <w:rFonts w:hint="eastAsia"/>
        </w:rPr>
        <w:t>在评价规则配置列表，点击“复制”按钮，进入复制评价规则页面，点击保存即可增加一条新的评价规则并且复制该规则下的评价指标。可以减少重复指标的重复录入工作，节约时间成本。关键实现步骤如下图所示：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（图1</w:t>
      </w:r>
      <w:r>
        <w:t>2</w:t>
      </w:r>
      <w:r>
        <w:rPr>
          <w:rFonts w:hint="eastAsia"/>
        </w:rPr>
        <w:t>评价规则配置列表页面--复制评价规则）</w:t>
      </w:r>
    </w:p>
    <w:p>
      <w:pPr>
        <w:ind w:firstLine="480"/>
        <w:jc w:val="center"/>
      </w:pPr>
      <w:r>
        <w:drawing>
          <wp:inline distT="0" distB="0" distL="114300" distR="114300">
            <wp:extent cx="5269230" cy="2411095"/>
            <wp:effectExtent l="0" t="0" r="7620" b="825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（图1</w:t>
      </w:r>
      <w:r>
        <w:t>3</w:t>
      </w:r>
      <w:r>
        <w:rPr>
          <w:rFonts w:hint="eastAsia"/>
        </w:rPr>
        <w:t>评价规则复制页面）</w:t>
      </w:r>
    </w:p>
    <w:p>
      <w:pPr>
        <w:rPr>
          <w:b/>
          <w:bCs/>
        </w:rPr>
      </w:pPr>
      <w:r>
        <w:rPr>
          <w:rFonts w:hint="eastAsia"/>
          <w:b/>
          <w:bCs/>
        </w:rPr>
        <w:t>注意事项：1、评价主体对被评价主体在某评价环节的评价规则只能配置一次。</w:t>
      </w:r>
    </w:p>
    <w:p>
      <w:pPr>
        <w:pStyle w:val="5"/>
      </w:pPr>
      <w:r>
        <w:rPr>
          <w:rFonts w:hint="eastAsia"/>
        </w:rPr>
        <w:t>1.1.6评价规则的删除</w:t>
      </w:r>
    </w:p>
    <w:p>
      <w:pPr>
        <w:ind w:firstLine="420"/>
      </w:pPr>
      <w:r>
        <w:rPr>
          <w:rFonts w:hint="eastAsia"/>
        </w:rPr>
        <w:t>在评价规则配置列表，点击“删除”按钮，即可实现对本规则及对应指标的删除操作。关键步骤如下图所示：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1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（图1</w:t>
      </w:r>
      <w:r>
        <w:t>4</w:t>
      </w:r>
      <w:r>
        <w:rPr>
          <w:rFonts w:hint="eastAsia"/>
        </w:rPr>
        <w:t>评价规则配置列表页面--删除评价规则）</w:t>
      </w:r>
    </w:p>
    <w:p>
      <w:pPr>
        <w:pStyle w:val="4"/>
      </w:pPr>
      <w:r>
        <w:rPr>
          <w:rFonts w:hint="eastAsia"/>
        </w:rPr>
        <w:t>2、信用评价</w:t>
      </w:r>
    </w:p>
    <w:p>
      <w:pPr>
        <w:ind w:firstLine="420"/>
      </w:pPr>
      <w:r>
        <w:rPr>
          <w:rFonts w:hint="eastAsia"/>
        </w:rPr>
        <w:t>采购人、代理机构、评审专家、供应商登陆系统，点击[评价管理</w:t>
      </w:r>
      <w:r>
        <w:t>]-</w:t>
      </w:r>
      <w:r>
        <w:rPr>
          <w:rFonts w:hint="eastAsia"/>
        </w:rPr>
        <w:t>[信用评价</w:t>
      </w:r>
      <w:r>
        <w:t>]</w:t>
      </w:r>
      <w:r>
        <w:rPr>
          <w:rFonts w:hint="eastAsia"/>
        </w:rPr>
        <w:t>菜单，进入项目评价列表页面。点击“项目评价”按钮，进入项目评价主页面。</w:t>
      </w:r>
    </w:p>
    <w:p>
      <w:r>
        <w:drawing>
          <wp:inline distT="0" distB="0" distL="0" distR="0">
            <wp:extent cx="5274310" cy="1016635"/>
            <wp:effectExtent l="0" t="0" r="254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01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15</w:t>
      </w:r>
      <w:r>
        <w:rPr>
          <w:rFonts w:hint="eastAsia"/>
        </w:rPr>
        <w:t>项目评价功能页面）</w:t>
      </w:r>
    </w:p>
    <w:p>
      <w:r>
        <w:drawing>
          <wp:inline distT="0" distB="0" distL="0" distR="0">
            <wp:extent cx="5274310" cy="766445"/>
            <wp:effectExtent l="0" t="0" r="254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66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  <w:rPr>
          <w:sz w:val="28"/>
        </w:rPr>
      </w:pPr>
      <w:r>
        <w:rPr>
          <w:rFonts w:hint="eastAsia"/>
        </w:rPr>
        <w:t>（图</w:t>
      </w:r>
      <w:r>
        <w:t>16</w:t>
      </w:r>
      <w:r>
        <w:rPr>
          <w:rFonts w:hint="eastAsia"/>
        </w:rPr>
        <w:t>项目评价列表页面）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50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1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（图1</w:t>
      </w:r>
      <w:r>
        <w:t>7</w:t>
      </w:r>
      <w:r>
        <w:rPr>
          <w:rFonts w:hint="eastAsia"/>
        </w:rPr>
        <w:t>项目评价主页面）</w:t>
      </w:r>
    </w:p>
    <w:p>
      <w:pPr>
        <w:ind w:firstLine="420"/>
      </w:pPr>
      <w:r>
        <w:rPr>
          <w:rFonts w:hint="eastAsia"/>
        </w:rPr>
        <w:t>项目评价主页面，根据当前区域配置并启用的评价规则进行展示，以下各角色的评价环节均为评价规则配置功能中的设置。只有发布过结果公告的项目才能进行评价。</w:t>
      </w:r>
    </w:p>
    <w:p>
      <w:pPr>
        <w:pStyle w:val="3"/>
      </w:pPr>
      <w:r>
        <w:rPr>
          <w:rFonts w:hint="eastAsia"/>
        </w:rPr>
        <w:t>2.1采购人对采购代理机构、评审专家、供应商的评价</w:t>
      </w:r>
    </w:p>
    <w:p>
      <w:pPr>
        <w:pStyle w:val="5"/>
      </w:pPr>
      <w:r>
        <w:rPr>
          <w:rFonts w:hint="eastAsia"/>
        </w:rPr>
        <w:t>2.1.1对采购代理机构进行评价</w:t>
      </w:r>
    </w:p>
    <w:p>
      <w:pPr>
        <w:ind w:firstLine="420"/>
      </w:pPr>
      <w:r>
        <w:rPr>
          <w:rFonts w:hint="eastAsia"/>
        </w:rPr>
        <w:t>在项目评价主页面，根据项目所在区域配置的评价规则在评标结束环节，切换被评价主体到采购代理机构后，点击“新增”按钮，进入具体打分页面，选择评价标段并填写正确打分信息后，点击“保存”按钮，即可完成对采购代理机构的评价，评价数据将在列表显示出来。关键实现步骤如下图所示：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4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3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（图1</w:t>
      </w:r>
      <w:r>
        <w:t>8</w:t>
      </w:r>
      <w:r>
        <w:rPr>
          <w:rFonts w:hint="eastAsia"/>
        </w:rPr>
        <w:t>对采购代理机构评价主页面）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44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6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19</w:t>
      </w:r>
      <w:r>
        <w:rPr>
          <w:rFonts w:hint="eastAsia"/>
        </w:rPr>
        <w:t>对采购代理机构评价打分页面）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46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8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rPr>
          <w:b/>
        </w:rPr>
      </w:pPr>
      <w:r>
        <w:rPr>
          <w:rFonts w:hint="eastAsia"/>
        </w:rPr>
        <w:t>（图2</w:t>
      </w:r>
      <w:r>
        <w:t>0</w:t>
      </w:r>
      <w:r>
        <w:rPr>
          <w:rFonts w:hint="eastAsia"/>
        </w:rPr>
        <w:t>对采购代理机构评价主页面）</w:t>
      </w:r>
    </w:p>
    <w:p>
      <w:pPr>
        <w:rPr>
          <w:b/>
          <w:bCs/>
        </w:rPr>
      </w:pPr>
      <w:r>
        <w:rPr>
          <w:rFonts w:hint="eastAsia"/>
          <w:b/>
          <w:bCs/>
        </w:rPr>
        <w:t>注意事项：</w:t>
      </w:r>
    </w:p>
    <w:p>
      <w:pPr>
        <w:ind w:firstLine="420"/>
      </w:pPr>
      <w:r>
        <w:rPr>
          <w:rFonts w:hint="eastAsia"/>
        </w:rPr>
        <w:t>1、在评价打分页面选择评价的标段时，必须是同一天发布的结果公告，避免多个标段评价结束时间不同，排除争议情况。</w:t>
      </w:r>
    </w:p>
    <w:p>
      <w:pPr>
        <w:ind w:firstLine="420"/>
      </w:pPr>
      <w:r>
        <w:t>2</w:t>
      </w:r>
      <w:r>
        <w:rPr>
          <w:rFonts w:hint="eastAsia"/>
        </w:rPr>
        <w:t>、每项评价指标打分时，不能超过该指标的设置分值。</w:t>
      </w:r>
    </w:p>
    <w:p>
      <w:pPr>
        <w:ind w:firstLine="420"/>
      </w:pPr>
      <w:r>
        <w:rPr>
          <w:rFonts w:hint="eastAsia"/>
        </w:rPr>
        <w:t>3、对于可追评的指标，保存时不校验必须进行评价。</w:t>
      </w:r>
    </w:p>
    <w:p>
      <w:pPr>
        <w:ind w:firstLine="420"/>
      </w:pPr>
      <w:r>
        <w:rPr>
          <w:rFonts w:hint="eastAsia"/>
        </w:rPr>
        <w:t>4、点击“查看”按钮，可以查看具体评价的打分情况，具体实现步骤如下图所示。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79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64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（图2</w:t>
      </w:r>
      <w:r>
        <w:t>1</w:t>
      </w:r>
      <w:r>
        <w:rPr>
          <w:rFonts w:hint="eastAsia"/>
        </w:rPr>
        <w:t>对采购代理机构评价主页面）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80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65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（图2</w:t>
      </w:r>
      <w:r>
        <w:t>2</w:t>
      </w:r>
      <w:r>
        <w:rPr>
          <w:rFonts w:hint="eastAsia"/>
        </w:rPr>
        <w:t>评价打分详情查看页面）</w:t>
      </w:r>
    </w:p>
    <w:p>
      <w:pPr>
        <w:pStyle w:val="5"/>
      </w:pPr>
      <w:r>
        <w:rPr>
          <w:rFonts w:hint="eastAsia"/>
        </w:rPr>
        <w:t>2.1.2对评审专家进行评价</w:t>
      </w:r>
    </w:p>
    <w:p>
      <w:pPr>
        <w:ind w:firstLine="420"/>
      </w:pPr>
      <w:r>
        <w:rPr>
          <w:rFonts w:hint="eastAsia"/>
        </w:rPr>
        <w:t>在项目评价主页面，根据项目所在区域配置的评价规则在评标结束环节，切换被评价主体到评审专家后，点击“新增”按钮，进入具体打分页面，先选择被评价专家，再选择评价标段，填写打分信息后。点击“保存”按钮，即可完成对评审专家的评价，评价数据将在列表显示出来。关键实现步骤如下图所示：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48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9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（图2</w:t>
      </w:r>
      <w:r>
        <w:t>3</w:t>
      </w:r>
      <w:r>
        <w:rPr>
          <w:rFonts w:hint="eastAsia"/>
        </w:rPr>
        <w:t>对评审专家评价主页面）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2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42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（图2</w:t>
      </w:r>
      <w:r>
        <w:t>4</w:t>
      </w:r>
      <w:r>
        <w:rPr>
          <w:rFonts w:hint="eastAsia"/>
        </w:rPr>
        <w:t>对评审专家评价打分页面）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52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3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（图2</w:t>
      </w:r>
      <w:r>
        <w:t>5</w:t>
      </w:r>
      <w:r>
        <w:rPr>
          <w:rFonts w:hint="eastAsia"/>
        </w:rPr>
        <w:t>对评审专家评价主页面）</w:t>
      </w:r>
    </w:p>
    <w:p>
      <w:pPr>
        <w:rPr>
          <w:b/>
          <w:bCs/>
        </w:rPr>
      </w:pPr>
      <w:r>
        <w:rPr>
          <w:rFonts w:hint="eastAsia"/>
          <w:b/>
          <w:bCs/>
        </w:rPr>
        <w:t>注意事项：</w:t>
      </w:r>
    </w:p>
    <w:p>
      <w:pPr>
        <w:ind w:firstLine="420"/>
      </w:pPr>
      <w:r>
        <w:rPr>
          <w:rFonts w:hint="eastAsia"/>
        </w:rPr>
        <w:t>1、如果项目的专家抽取申请没有关联项目，则可评价专家为空，不能对项目的参与专家进行评价。</w:t>
      </w:r>
    </w:p>
    <w:p>
      <w:pPr>
        <w:pStyle w:val="5"/>
      </w:pPr>
      <w:r>
        <w:rPr>
          <w:rFonts w:hint="eastAsia"/>
        </w:rPr>
        <w:t>2.1.3对供应商进行评价</w:t>
      </w:r>
    </w:p>
    <w:p>
      <w:pPr>
        <w:ind w:firstLine="420"/>
      </w:pPr>
      <w:r>
        <w:rPr>
          <w:rFonts w:hint="eastAsia"/>
        </w:rPr>
        <w:t>在项目评价主页面，根据项目所在区域配置的评价规则在合同备案环节，切换被评价主体到供应商后，点击“新增”按钮，进入具体打分页面，填写正确打分信息后，点击保存按钮，即可完成对供应商的评价，评价数据将在列表显示出来。关键实现步骤如下图所示：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5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4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（图2</w:t>
      </w:r>
      <w:r>
        <w:t>6</w:t>
      </w:r>
      <w:r>
        <w:rPr>
          <w:rFonts w:hint="eastAsia"/>
        </w:rPr>
        <w:t>对供应商评价主页面）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5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5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（图2</w:t>
      </w:r>
      <w:r>
        <w:t>7</w:t>
      </w:r>
      <w:r>
        <w:rPr>
          <w:rFonts w:hint="eastAsia"/>
        </w:rPr>
        <w:t>对供应商评价打分页面）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5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46"/>
                    <pic:cNvPicPr>
                      <a:picLocks noChangeAspect="1"/>
                    </pic:cNvPicPr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（图2</w:t>
      </w:r>
      <w:r>
        <w:t>8</w:t>
      </w:r>
      <w:r>
        <w:rPr>
          <w:rFonts w:hint="eastAsia"/>
        </w:rPr>
        <w:t>对供应商评价主页面）</w:t>
      </w:r>
    </w:p>
    <w:p>
      <w:pPr>
        <w:ind w:firstLine="420"/>
      </w:pPr>
      <w:r>
        <w:rPr>
          <w:rFonts w:hint="eastAsia"/>
          <w:b/>
          <w:bCs/>
        </w:rPr>
        <w:t>注意事项：</w:t>
      </w:r>
      <w:r>
        <w:rPr>
          <w:rFonts w:hint="eastAsia"/>
        </w:rPr>
        <w:t>如该项目未进行合同备案时，新增评价页面可评价供应商为空，不能进行评价。</w:t>
      </w:r>
    </w:p>
    <w:p>
      <w:pPr>
        <w:pStyle w:val="3"/>
      </w:pPr>
      <w:r>
        <w:rPr>
          <w:rFonts w:hint="eastAsia"/>
        </w:rPr>
        <w:t>2.2采购代理机构对采购人、评审专家的评价</w:t>
      </w:r>
    </w:p>
    <w:p>
      <w:pPr>
        <w:ind w:firstLine="420"/>
        <w:rPr>
          <w:b/>
        </w:rPr>
      </w:pPr>
      <w:r>
        <w:rPr>
          <w:rFonts w:hint="eastAsia"/>
        </w:rPr>
        <w:t>整体业务与2</w:t>
      </w:r>
      <w:r>
        <w:t>.1</w:t>
      </w:r>
      <w:r>
        <w:rPr>
          <w:rFonts w:hint="eastAsia"/>
        </w:rPr>
        <w:t>采购人对其他单位评价相同，请参与2</w:t>
      </w:r>
      <w:r>
        <w:t>.1</w:t>
      </w:r>
      <w:r>
        <w:rPr>
          <w:rFonts w:hint="eastAsia"/>
        </w:rPr>
        <w:t>说明。</w:t>
      </w:r>
    </w:p>
    <w:p>
      <w:pPr>
        <w:pStyle w:val="3"/>
      </w:pPr>
      <w:r>
        <w:rPr>
          <w:rFonts w:hint="eastAsia"/>
        </w:rPr>
        <w:t>2.3评审专家对采购人、采购代理机构的评价</w:t>
      </w:r>
    </w:p>
    <w:p>
      <w:pPr>
        <w:ind w:firstLine="420"/>
        <w:rPr>
          <w:b/>
        </w:rPr>
      </w:pPr>
      <w:r>
        <w:rPr>
          <w:rFonts w:hint="eastAsia"/>
        </w:rPr>
        <w:t>整体业务与2</w:t>
      </w:r>
      <w:r>
        <w:t>.1</w:t>
      </w:r>
      <w:r>
        <w:rPr>
          <w:rFonts w:hint="eastAsia"/>
        </w:rPr>
        <w:t>采购人对其他单位评价大致相同，区别为选择评价标段时，只展示当前专家参与的标段，如果专家抽取没有关联项目则无法对该项目进行评价。</w:t>
      </w:r>
    </w:p>
    <w:p>
      <w:pPr>
        <w:pStyle w:val="3"/>
      </w:pPr>
      <w:r>
        <w:rPr>
          <w:rFonts w:hint="eastAsia"/>
        </w:rPr>
        <w:t>2.4供应商对采购人的评价</w:t>
      </w:r>
    </w:p>
    <w:p>
      <w:pPr>
        <w:ind w:firstLine="420"/>
      </w:pPr>
      <w:r>
        <w:rPr>
          <w:rFonts w:hint="eastAsia"/>
        </w:rPr>
        <w:t>整体业务与2</w:t>
      </w:r>
      <w:r>
        <w:t>.1</w:t>
      </w:r>
      <w:r>
        <w:rPr>
          <w:rFonts w:hint="eastAsia"/>
        </w:rPr>
        <w:t>采购人对供应商评价大致相同，区别为选择评价标段时，只展示当前供应商中标的标段。如果合同未备案或未备案完成则无法对该项目进行评价。</w:t>
      </w:r>
    </w:p>
    <w:p>
      <w:pPr>
        <w:pStyle w:val="3"/>
      </w:pPr>
      <w:r>
        <w:rPr>
          <w:rFonts w:hint="eastAsia"/>
        </w:rPr>
        <w:t>2.</w:t>
      </w:r>
      <w:r>
        <w:t>5</w:t>
      </w:r>
      <w:r>
        <w:rPr>
          <w:rFonts w:hint="eastAsia"/>
        </w:rPr>
        <w:t>评价追评</w:t>
      </w:r>
    </w:p>
    <w:p>
      <w:pPr>
        <w:ind w:firstLine="420"/>
      </w:pPr>
      <w:r>
        <w:rPr>
          <w:rFonts w:hint="eastAsia"/>
        </w:rPr>
        <w:t>当前时间超过评价有效期时，对于可追评的评价规则，在[项目评价主页面</w:t>
      </w:r>
      <w:r>
        <w:t>]</w:t>
      </w:r>
      <w:r>
        <w:rPr>
          <w:rFonts w:hint="eastAsia"/>
        </w:rPr>
        <w:t>选择需要追评的评价记录，点击“追评”按钮，进行追评。</w:t>
      </w:r>
    </w:p>
    <w:p>
      <w:pPr>
        <w:ind w:firstLine="420"/>
        <w:rPr>
          <w:b/>
        </w:rPr>
      </w:pPr>
      <w:r>
        <w:rPr>
          <w:rFonts w:hint="eastAsia"/>
        </w:rPr>
        <w:t>整体业务与2</w:t>
      </w:r>
      <w:r>
        <w:t>.1</w:t>
      </w:r>
      <w:r>
        <w:rPr>
          <w:rFonts w:hint="eastAsia"/>
        </w:rPr>
        <w:t>采购人对其他单位评价大致相同，追评时只能对可追评的指标进行打分。超过追评有效期后只能查看评价情况。</w:t>
      </w:r>
    </w:p>
    <w:p>
      <w:pPr>
        <w:pStyle w:val="4"/>
      </w:pPr>
      <w:r>
        <w:rPr>
          <w:rFonts w:hint="eastAsia"/>
        </w:rPr>
        <w:t>3、监管单位查看项目评价具体情况</w:t>
      </w:r>
    </w:p>
    <w:p>
      <w:pPr>
        <w:ind w:firstLine="420"/>
      </w:pPr>
      <w:r>
        <w:rPr>
          <w:rFonts w:hint="eastAsia"/>
        </w:rPr>
        <w:t>监管单位登陆系统，点击[评价管理</w:t>
      </w:r>
      <w:r>
        <w:t>]-</w:t>
      </w:r>
      <w:r>
        <w:rPr>
          <w:rFonts w:hint="eastAsia"/>
        </w:rPr>
        <w:t>[信用评价</w:t>
      </w:r>
      <w:r>
        <w:t>]</w:t>
      </w:r>
      <w:r>
        <w:rPr>
          <w:rFonts w:hint="eastAsia"/>
        </w:rPr>
        <w:t>菜单，进入项目评价列表页面。点击“查看项目评价”按钮，进入项目评价主页面。</w:t>
      </w:r>
    </w:p>
    <w:p>
      <w:r>
        <w:drawing>
          <wp:inline distT="0" distB="0" distL="0" distR="0">
            <wp:extent cx="5274310" cy="2694940"/>
            <wp:effectExtent l="0" t="0" r="254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94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29</w:t>
      </w:r>
      <w:r>
        <w:rPr>
          <w:rFonts w:hint="eastAsia"/>
        </w:rPr>
        <w:t>项目评价功能页面）</w:t>
      </w:r>
    </w:p>
    <w:p>
      <w:r>
        <w:drawing>
          <wp:inline distT="0" distB="0" distL="0" distR="0">
            <wp:extent cx="5274310" cy="2733040"/>
            <wp:effectExtent l="0" t="0" r="254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3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30</w:t>
      </w:r>
      <w:r>
        <w:rPr>
          <w:rFonts w:hint="eastAsia"/>
        </w:rPr>
        <w:t>项目评价列表页面）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36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0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31</w:t>
      </w:r>
      <w:r>
        <w:rPr>
          <w:rFonts w:hint="eastAsia"/>
        </w:rPr>
        <w:t>查看项目评价主页面）</w:t>
      </w:r>
    </w:p>
    <w:p>
      <w:r>
        <w:drawing>
          <wp:inline distT="0" distB="0" distL="114300" distR="114300">
            <wp:extent cx="5269230" cy="2411095"/>
            <wp:effectExtent l="0" t="0" r="7620" b="8255"/>
            <wp:docPr id="37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1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1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</w:pPr>
      <w:r>
        <w:rPr>
          <w:rFonts w:hint="eastAsia"/>
        </w:rPr>
        <w:t>（图</w:t>
      </w:r>
      <w:r>
        <w:t>32</w:t>
      </w:r>
      <w:r>
        <w:rPr>
          <w:rFonts w:hint="eastAsia"/>
        </w:rPr>
        <w:t>项目评价打分详情查看页面）</w:t>
      </w:r>
    </w:p>
    <w:p/>
    <w:sectPr>
      <w:footerReference r:id="rId5" w:type="default"/>
      <w:pgSz w:w="11906" w:h="16838"/>
      <w:pgMar w:top="1440" w:right="1800" w:bottom="1440" w:left="1800" w:header="851" w:footer="992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等线 Light">
    <w:altName w:val="微软雅黑"/>
    <w:panose1 w:val="00000000000000000000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ind w:firstLine="360"/>
    </w:pPr>
  </w:p>
  <w:p>
    <w:pPr>
      <w:pStyle w:val="11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1849747716"/>
      <w:docPartObj>
        <w:docPartGallery w:val="AutoText"/>
      </w:docPartObj>
    </w:sdtPr>
    <w:sdtContent>
      <w:p>
        <w:pPr>
          <w:pStyle w:val="11"/>
          <w:ind w:firstLine="360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</w:t>
        </w:r>
        <w:r>
          <w:fldChar w:fldCharType="end"/>
        </w:r>
      </w:p>
    </w:sdtContent>
  </w:sdt>
  <w:p>
    <w:pPr>
      <w:pStyle w:val="11"/>
      <w:ind w:firstLine="360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  <w:jc w:val="both"/>
    </w:pPr>
    <w:r>
      <w:rPr>
        <w:rFonts w:hint="eastAsia"/>
      </w:rPr>
      <w:drawing>
        <wp:inline distT="0" distB="0" distL="0" distR="0">
          <wp:extent cx="1003300" cy="139700"/>
          <wp:effectExtent l="0" t="0" r="6350" b="0"/>
          <wp:docPr id="51" name="图片 51" descr="信源标志确认稿签字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" name="图片 51" descr="信源标志确认稿签字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03300" cy="139700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/>
                </pic:spPr>
              </pic:pic>
            </a:graphicData>
          </a:graphic>
        </wp:inline>
      </w:drawing>
    </w:r>
    <w:r>
      <w:rPr>
        <w:rFonts w:hint="eastAsia"/>
      </w:rPr>
      <w:tab/>
    </w:r>
    <w:r>
      <w:rPr>
        <w:rFonts w:hint="eastAsia"/>
      </w:rPr>
      <w:tab/>
    </w:r>
    <w:r>
      <w:rPr>
        <w:rFonts w:hint="eastAsia"/>
        <w:kern w:val="0"/>
        <w:szCs w:val="21"/>
      </w:rPr>
      <w:t>操作手册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zVlOTEzYTMxZDAwNDQ3YzkyNDQzYjMwMjFiYmJiZTkifQ=="/>
  </w:docVars>
  <w:rsids>
    <w:rsidRoot w:val="00A81C53"/>
    <w:rsid w:val="00015957"/>
    <w:rsid w:val="00021745"/>
    <w:rsid w:val="000412E5"/>
    <w:rsid w:val="000557BE"/>
    <w:rsid w:val="00061DE6"/>
    <w:rsid w:val="00070EA4"/>
    <w:rsid w:val="00072C41"/>
    <w:rsid w:val="00074DF3"/>
    <w:rsid w:val="0009303F"/>
    <w:rsid w:val="000968ED"/>
    <w:rsid w:val="0009722E"/>
    <w:rsid w:val="000A2F61"/>
    <w:rsid w:val="000B1596"/>
    <w:rsid w:val="000C0D17"/>
    <w:rsid w:val="000D2645"/>
    <w:rsid w:val="000D4894"/>
    <w:rsid w:val="000D4D49"/>
    <w:rsid w:val="000E3B37"/>
    <w:rsid w:val="000E42DA"/>
    <w:rsid w:val="000E6D62"/>
    <w:rsid w:val="0010534E"/>
    <w:rsid w:val="0011004F"/>
    <w:rsid w:val="001110DE"/>
    <w:rsid w:val="00120EF1"/>
    <w:rsid w:val="0013237F"/>
    <w:rsid w:val="0013477A"/>
    <w:rsid w:val="00161B1D"/>
    <w:rsid w:val="00167572"/>
    <w:rsid w:val="0017156A"/>
    <w:rsid w:val="0017227C"/>
    <w:rsid w:val="001738A5"/>
    <w:rsid w:val="001744E5"/>
    <w:rsid w:val="001810AA"/>
    <w:rsid w:val="001B08C8"/>
    <w:rsid w:val="001B266B"/>
    <w:rsid w:val="001B32B5"/>
    <w:rsid w:val="001B7EEC"/>
    <w:rsid w:val="001C0AE4"/>
    <w:rsid w:val="001C4D11"/>
    <w:rsid w:val="001C5222"/>
    <w:rsid w:val="001C7CC8"/>
    <w:rsid w:val="001D295D"/>
    <w:rsid w:val="001D6948"/>
    <w:rsid w:val="001E0EF8"/>
    <w:rsid w:val="001F6D71"/>
    <w:rsid w:val="002065CA"/>
    <w:rsid w:val="00206CCF"/>
    <w:rsid w:val="00224B76"/>
    <w:rsid w:val="00233FC8"/>
    <w:rsid w:val="002409B5"/>
    <w:rsid w:val="00244AFF"/>
    <w:rsid w:val="002450BF"/>
    <w:rsid w:val="00261C69"/>
    <w:rsid w:val="002840D0"/>
    <w:rsid w:val="00291DC9"/>
    <w:rsid w:val="002944BA"/>
    <w:rsid w:val="002A0041"/>
    <w:rsid w:val="002A2F74"/>
    <w:rsid w:val="002A321C"/>
    <w:rsid w:val="002A537C"/>
    <w:rsid w:val="002A7BFE"/>
    <w:rsid w:val="002C04DC"/>
    <w:rsid w:val="002C41AF"/>
    <w:rsid w:val="002D2089"/>
    <w:rsid w:val="002D3A63"/>
    <w:rsid w:val="002D5B1D"/>
    <w:rsid w:val="002D66DC"/>
    <w:rsid w:val="00300144"/>
    <w:rsid w:val="00304528"/>
    <w:rsid w:val="003061FE"/>
    <w:rsid w:val="00307B1F"/>
    <w:rsid w:val="0031129A"/>
    <w:rsid w:val="003171DE"/>
    <w:rsid w:val="003213EE"/>
    <w:rsid w:val="003257C1"/>
    <w:rsid w:val="00330EE3"/>
    <w:rsid w:val="00330F31"/>
    <w:rsid w:val="00340821"/>
    <w:rsid w:val="003445EE"/>
    <w:rsid w:val="0035064B"/>
    <w:rsid w:val="003517AF"/>
    <w:rsid w:val="00356013"/>
    <w:rsid w:val="003717BD"/>
    <w:rsid w:val="00371894"/>
    <w:rsid w:val="00386B59"/>
    <w:rsid w:val="00391ECB"/>
    <w:rsid w:val="003B6212"/>
    <w:rsid w:val="003B6647"/>
    <w:rsid w:val="003C7F6C"/>
    <w:rsid w:val="003D3543"/>
    <w:rsid w:val="003D3DAB"/>
    <w:rsid w:val="003D64C4"/>
    <w:rsid w:val="003D6706"/>
    <w:rsid w:val="003D6A56"/>
    <w:rsid w:val="003F019A"/>
    <w:rsid w:val="003F6BF1"/>
    <w:rsid w:val="00406D6B"/>
    <w:rsid w:val="004157F6"/>
    <w:rsid w:val="00416452"/>
    <w:rsid w:val="00432B93"/>
    <w:rsid w:val="00446C16"/>
    <w:rsid w:val="00452374"/>
    <w:rsid w:val="00457BA1"/>
    <w:rsid w:val="004633E9"/>
    <w:rsid w:val="00463734"/>
    <w:rsid w:val="004649E2"/>
    <w:rsid w:val="004678AC"/>
    <w:rsid w:val="00472FF9"/>
    <w:rsid w:val="00473BA6"/>
    <w:rsid w:val="00475B38"/>
    <w:rsid w:val="0048268A"/>
    <w:rsid w:val="0048330E"/>
    <w:rsid w:val="00485F1C"/>
    <w:rsid w:val="004A3867"/>
    <w:rsid w:val="004B5CBA"/>
    <w:rsid w:val="004B7FE0"/>
    <w:rsid w:val="004C2D42"/>
    <w:rsid w:val="004D1513"/>
    <w:rsid w:val="004D5337"/>
    <w:rsid w:val="004D5B02"/>
    <w:rsid w:val="004E1D34"/>
    <w:rsid w:val="004E38A4"/>
    <w:rsid w:val="004F1596"/>
    <w:rsid w:val="004F671F"/>
    <w:rsid w:val="004F6CB7"/>
    <w:rsid w:val="00500E0E"/>
    <w:rsid w:val="00503BC4"/>
    <w:rsid w:val="005047C5"/>
    <w:rsid w:val="00504A0A"/>
    <w:rsid w:val="005136C9"/>
    <w:rsid w:val="005221DD"/>
    <w:rsid w:val="005242F8"/>
    <w:rsid w:val="00526D79"/>
    <w:rsid w:val="0053004B"/>
    <w:rsid w:val="00535102"/>
    <w:rsid w:val="00542063"/>
    <w:rsid w:val="005623FA"/>
    <w:rsid w:val="00562BB1"/>
    <w:rsid w:val="005659CE"/>
    <w:rsid w:val="00573DC7"/>
    <w:rsid w:val="0058099D"/>
    <w:rsid w:val="00580DEA"/>
    <w:rsid w:val="005826C7"/>
    <w:rsid w:val="00584B2C"/>
    <w:rsid w:val="00585161"/>
    <w:rsid w:val="005917D6"/>
    <w:rsid w:val="00591DDC"/>
    <w:rsid w:val="00596327"/>
    <w:rsid w:val="005A213A"/>
    <w:rsid w:val="005A7966"/>
    <w:rsid w:val="005B529A"/>
    <w:rsid w:val="005C0CBC"/>
    <w:rsid w:val="005C0F6F"/>
    <w:rsid w:val="005C3AF8"/>
    <w:rsid w:val="005C5B93"/>
    <w:rsid w:val="005C6EFB"/>
    <w:rsid w:val="005E0E18"/>
    <w:rsid w:val="005E37F2"/>
    <w:rsid w:val="005F26A1"/>
    <w:rsid w:val="005F2905"/>
    <w:rsid w:val="005F3F97"/>
    <w:rsid w:val="00621367"/>
    <w:rsid w:val="006246D1"/>
    <w:rsid w:val="00626C22"/>
    <w:rsid w:val="00632BF6"/>
    <w:rsid w:val="00634AE3"/>
    <w:rsid w:val="00642D9C"/>
    <w:rsid w:val="00652595"/>
    <w:rsid w:val="006751AE"/>
    <w:rsid w:val="00676060"/>
    <w:rsid w:val="00677F88"/>
    <w:rsid w:val="0068015B"/>
    <w:rsid w:val="00690F03"/>
    <w:rsid w:val="0069568F"/>
    <w:rsid w:val="006A277B"/>
    <w:rsid w:val="006A6B78"/>
    <w:rsid w:val="006C40D2"/>
    <w:rsid w:val="006D086B"/>
    <w:rsid w:val="006E35D6"/>
    <w:rsid w:val="006E67F5"/>
    <w:rsid w:val="006F269D"/>
    <w:rsid w:val="006F7E13"/>
    <w:rsid w:val="00700E74"/>
    <w:rsid w:val="00711A2A"/>
    <w:rsid w:val="00713C92"/>
    <w:rsid w:val="00715EB3"/>
    <w:rsid w:val="00717319"/>
    <w:rsid w:val="00725C56"/>
    <w:rsid w:val="0075242B"/>
    <w:rsid w:val="007623F2"/>
    <w:rsid w:val="00762DA1"/>
    <w:rsid w:val="007672CD"/>
    <w:rsid w:val="00774EDC"/>
    <w:rsid w:val="00784A87"/>
    <w:rsid w:val="007850BC"/>
    <w:rsid w:val="00786864"/>
    <w:rsid w:val="007935F8"/>
    <w:rsid w:val="00796172"/>
    <w:rsid w:val="007A0658"/>
    <w:rsid w:val="007B6855"/>
    <w:rsid w:val="007C4E25"/>
    <w:rsid w:val="007C5173"/>
    <w:rsid w:val="007D22D9"/>
    <w:rsid w:val="007D514E"/>
    <w:rsid w:val="007D6C76"/>
    <w:rsid w:val="007E4B06"/>
    <w:rsid w:val="007E7520"/>
    <w:rsid w:val="007F1023"/>
    <w:rsid w:val="00811C6A"/>
    <w:rsid w:val="00812677"/>
    <w:rsid w:val="008157FF"/>
    <w:rsid w:val="008374E0"/>
    <w:rsid w:val="008421DD"/>
    <w:rsid w:val="0084373A"/>
    <w:rsid w:val="00846821"/>
    <w:rsid w:val="00855F47"/>
    <w:rsid w:val="008612A6"/>
    <w:rsid w:val="00862A0B"/>
    <w:rsid w:val="008650DB"/>
    <w:rsid w:val="00866955"/>
    <w:rsid w:val="00876B5F"/>
    <w:rsid w:val="00880F3E"/>
    <w:rsid w:val="008839E0"/>
    <w:rsid w:val="00883E65"/>
    <w:rsid w:val="00884CC9"/>
    <w:rsid w:val="0089451B"/>
    <w:rsid w:val="008A02ED"/>
    <w:rsid w:val="008A04D4"/>
    <w:rsid w:val="008A0533"/>
    <w:rsid w:val="008A4C23"/>
    <w:rsid w:val="008B6029"/>
    <w:rsid w:val="008D07D6"/>
    <w:rsid w:val="008D1860"/>
    <w:rsid w:val="008E41D0"/>
    <w:rsid w:val="008F0C91"/>
    <w:rsid w:val="0090168E"/>
    <w:rsid w:val="009031A3"/>
    <w:rsid w:val="00905B12"/>
    <w:rsid w:val="00910DD8"/>
    <w:rsid w:val="0092178D"/>
    <w:rsid w:val="00935C5B"/>
    <w:rsid w:val="00936754"/>
    <w:rsid w:val="00937200"/>
    <w:rsid w:val="00947796"/>
    <w:rsid w:val="009528EE"/>
    <w:rsid w:val="009531B4"/>
    <w:rsid w:val="0098087A"/>
    <w:rsid w:val="00980F6C"/>
    <w:rsid w:val="00982043"/>
    <w:rsid w:val="00982CC4"/>
    <w:rsid w:val="00982CF0"/>
    <w:rsid w:val="009921AB"/>
    <w:rsid w:val="0099310E"/>
    <w:rsid w:val="009947FE"/>
    <w:rsid w:val="009A4FAE"/>
    <w:rsid w:val="009B45C4"/>
    <w:rsid w:val="009B593A"/>
    <w:rsid w:val="009C1CFA"/>
    <w:rsid w:val="009C1DD8"/>
    <w:rsid w:val="009C2281"/>
    <w:rsid w:val="009C4D0A"/>
    <w:rsid w:val="009D4924"/>
    <w:rsid w:val="009D513C"/>
    <w:rsid w:val="009E4409"/>
    <w:rsid w:val="009F075D"/>
    <w:rsid w:val="009F287D"/>
    <w:rsid w:val="009F7407"/>
    <w:rsid w:val="009F74A2"/>
    <w:rsid w:val="00A05E1A"/>
    <w:rsid w:val="00A31282"/>
    <w:rsid w:val="00A32FBA"/>
    <w:rsid w:val="00A35ACD"/>
    <w:rsid w:val="00A35D05"/>
    <w:rsid w:val="00A362FE"/>
    <w:rsid w:val="00A50E4F"/>
    <w:rsid w:val="00A517B7"/>
    <w:rsid w:val="00A57785"/>
    <w:rsid w:val="00A66FAF"/>
    <w:rsid w:val="00A70152"/>
    <w:rsid w:val="00A732BA"/>
    <w:rsid w:val="00A81C53"/>
    <w:rsid w:val="00A82859"/>
    <w:rsid w:val="00A9504B"/>
    <w:rsid w:val="00A96112"/>
    <w:rsid w:val="00AA5005"/>
    <w:rsid w:val="00AA7F20"/>
    <w:rsid w:val="00AB5AF3"/>
    <w:rsid w:val="00AB7F66"/>
    <w:rsid w:val="00AC26FC"/>
    <w:rsid w:val="00AD6C87"/>
    <w:rsid w:val="00AE2447"/>
    <w:rsid w:val="00AE5B50"/>
    <w:rsid w:val="00B113A3"/>
    <w:rsid w:val="00B237EE"/>
    <w:rsid w:val="00B26704"/>
    <w:rsid w:val="00B2778F"/>
    <w:rsid w:val="00B363DF"/>
    <w:rsid w:val="00B40F4B"/>
    <w:rsid w:val="00B431DB"/>
    <w:rsid w:val="00B4542F"/>
    <w:rsid w:val="00B45BC7"/>
    <w:rsid w:val="00B548FF"/>
    <w:rsid w:val="00B559B4"/>
    <w:rsid w:val="00B61B71"/>
    <w:rsid w:val="00B62A3C"/>
    <w:rsid w:val="00B67400"/>
    <w:rsid w:val="00B67BD9"/>
    <w:rsid w:val="00B75C53"/>
    <w:rsid w:val="00B87807"/>
    <w:rsid w:val="00B87BDE"/>
    <w:rsid w:val="00BA5296"/>
    <w:rsid w:val="00BB605E"/>
    <w:rsid w:val="00BB7397"/>
    <w:rsid w:val="00BC145E"/>
    <w:rsid w:val="00BD2E1C"/>
    <w:rsid w:val="00BE0857"/>
    <w:rsid w:val="00BE1396"/>
    <w:rsid w:val="00BE23DF"/>
    <w:rsid w:val="00BF2919"/>
    <w:rsid w:val="00BF3A56"/>
    <w:rsid w:val="00C11128"/>
    <w:rsid w:val="00C17603"/>
    <w:rsid w:val="00C35EAD"/>
    <w:rsid w:val="00C43F1C"/>
    <w:rsid w:val="00C45D67"/>
    <w:rsid w:val="00C53C70"/>
    <w:rsid w:val="00C55B1A"/>
    <w:rsid w:val="00C61343"/>
    <w:rsid w:val="00C624E8"/>
    <w:rsid w:val="00C6256E"/>
    <w:rsid w:val="00C6363B"/>
    <w:rsid w:val="00C65990"/>
    <w:rsid w:val="00C94F86"/>
    <w:rsid w:val="00CD0C75"/>
    <w:rsid w:val="00CD4C75"/>
    <w:rsid w:val="00CD73CC"/>
    <w:rsid w:val="00CE0668"/>
    <w:rsid w:val="00CE694F"/>
    <w:rsid w:val="00CF1C10"/>
    <w:rsid w:val="00CF5952"/>
    <w:rsid w:val="00D01C9E"/>
    <w:rsid w:val="00D1176B"/>
    <w:rsid w:val="00D14AC8"/>
    <w:rsid w:val="00D15ED4"/>
    <w:rsid w:val="00D2416C"/>
    <w:rsid w:val="00D31423"/>
    <w:rsid w:val="00D3687F"/>
    <w:rsid w:val="00D44DFF"/>
    <w:rsid w:val="00D5439E"/>
    <w:rsid w:val="00D65744"/>
    <w:rsid w:val="00D66084"/>
    <w:rsid w:val="00D74679"/>
    <w:rsid w:val="00D76B2E"/>
    <w:rsid w:val="00D932E1"/>
    <w:rsid w:val="00D946F0"/>
    <w:rsid w:val="00D951C0"/>
    <w:rsid w:val="00D978EC"/>
    <w:rsid w:val="00DB622F"/>
    <w:rsid w:val="00DD0224"/>
    <w:rsid w:val="00DE2BAA"/>
    <w:rsid w:val="00DF4075"/>
    <w:rsid w:val="00E00DD7"/>
    <w:rsid w:val="00E0101B"/>
    <w:rsid w:val="00E03A17"/>
    <w:rsid w:val="00E12A77"/>
    <w:rsid w:val="00E16293"/>
    <w:rsid w:val="00E16780"/>
    <w:rsid w:val="00E17C29"/>
    <w:rsid w:val="00E221A3"/>
    <w:rsid w:val="00E27FE7"/>
    <w:rsid w:val="00E33864"/>
    <w:rsid w:val="00E3632B"/>
    <w:rsid w:val="00E52939"/>
    <w:rsid w:val="00E63904"/>
    <w:rsid w:val="00E66DFD"/>
    <w:rsid w:val="00E731CD"/>
    <w:rsid w:val="00E74A15"/>
    <w:rsid w:val="00E77A73"/>
    <w:rsid w:val="00E83D9D"/>
    <w:rsid w:val="00E94776"/>
    <w:rsid w:val="00E9567B"/>
    <w:rsid w:val="00E95987"/>
    <w:rsid w:val="00EB01CF"/>
    <w:rsid w:val="00EB13BA"/>
    <w:rsid w:val="00EC02EA"/>
    <w:rsid w:val="00EC0BAD"/>
    <w:rsid w:val="00EC6C52"/>
    <w:rsid w:val="00ED4215"/>
    <w:rsid w:val="00ED4CDD"/>
    <w:rsid w:val="00ED7999"/>
    <w:rsid w:val="00EE5BF8"/>
    <w:rsid w:val="00EE7CCD"/>
    <w:rsid w:val="00EF4232"/>
    <w:rsid w:val="00F00118"/>
    <w:rsid w:val="00F011B7"/>
    <w:rsid w:val="00F07D18"/>
    <w:rsid w:val="00F177EF"/>
    <w:rsid w:val="00F22438"/>
    <w:rsid w:val="00F24A66"/>
    <w:rsid w:val="00F27DAE"/>
    <w:rsid w:val="00F30971"/>
    <w:rsid w:val="00F3230D"/>
    <w:rsid w:val="00F401A3"/>
    <w:rsid w:val="00F43C19"/>
    <w:rsid w:val="00F4490A"/>
    <w:rsid w:val="00F45106"/>
    <w:rsid w:val="00F5278B"/>
    <w:rsid w:val="00F62417"/>
    <w:rsid w:val="00F65781"/>
    <w:rsid w:val="00F66275"/>
    <w:rsid w:val="00F7098E"/>
    <w:rsid w:val="00F73880"/>
    <w:rsid w:val="00F76660"/>
    <w:rsid w:val="00F8250F"/>
    <w:rsid w:val="00F916AC"/>
    <w:rsid w:val="00F922C7"/>
    <w:rsid w:val="00F96D2E"/>
    <w:rsid w:val="00FA1890"/>
    <w:rsid w:val="00FA301B"/>
    <w:rsid w:val="00FA52E9"/>
    <w:rsid w:val="00FB432E"/>
    <w:rsid w:val="00FB51FD"/>
    <w:rsid w:val="00FC78B2"/>
    <w:rsid w:val="00FE2766"/>
    <w:rsid w:val="00FF441A"/>
    <w:rsid w:val="00FF5F4B"/>
    <w:rsid w:val="1F8E65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semiHidden="0" w:name="heading 6"/>
    <w:lsdException w:qFormat="1" w:uiPriority="9" w:semiHidden="0" w:name="heading 7"/>
    <w:lsdException w:qFormat="1" w:uiPriority="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仿宋" w:hAnsi="仿宋" w:eastAsia="仿宋" w:cs="Times New Roman"/>
      <w:kern w:val="2"/>
      <w:sz w:val="24"/>
      <w:szCs w:val="28"/>
      <w:lang w:val="en-US" w:eastAsia="zh-CN" w:bidi="ar-SA"/>
    </w:rPr>
  </w:style>
  <w:style w:type="paragraph" w:styleId="2">
    <w:name w:val="heading 1"/>
    <w:basedOn w:val="3"/>
    <w:next w:val="1"/>
    <w:link w:val="25"/>
    <w:qFormat/>
    <w:uiPriority w:val="9"/>
    <w:pPr>
      <w:spacing w:line="415" w:lineRule="auto"/>
      <w:outlineLvl w:val="0"/>
    </w:pPr>
    <w:rPr>
      <w:sz w:val="32"/>
      <w:szCs w:val="28"/>
    </w:rPr>
  </w:style>
  <w:style w:type="paragraph" w:styleId="4">
    <w:name w:val="heading 2"/>
    <w:basedOn w:val="2"/>
    <w:next w:val="1"/>
    <w:link w:val="20"/>
    <w:qFormat/>
    <w:uiPriority w:val="9"/>
    <w:pPr>
      <w:outlineLvl w:val="1"/>
    </w:pPr>
    <w:rPr>
      <w:sz w:val="28"/>
    </w:rPr>
  </w:style>
  <w:style w:type="paragraph" w:styleId="3">
    <w:name w:val="heading 3"/>
    <w:basedOn w:val="1"/>
    <w:next w:val="1"/>
    <w:link w:val="24"/>
    <w:unhideWhenUsed/>
    <w:qFormat/>
    <w:uiPriority w:val="9"/>
    <w:pPr>
      <w:keepNext/>
      <w:keepLines/>
      <w:spacing w:before="240" w:after="64" w:line="319" w:lineRule="auto"/>
      <w:outlineLvl w:val="2"/>
    </w:pPr>
    <w:rPr>
      <w:b/>
      <w:bCs/>
      <w:szCs w:val="32"/>
    </w:rPr>
  </w:style>
  <w:style w:type="paragraph" w:styleId="5">
    <w:name w:val="heading 4"/>
    <w:basedOn w:val="1"/>
    <w:next w:val="1"/>
    <w:link w:val="29"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cstheme="majorBidi"/>
      <w:b/>
      <w:bCs/>
    </w:rPr>
  </w:style>
  <w:style w:type="paragraph" w:styleId="6">
    <w:name w:val="heading 6"/>
    <w:basedOn w:val="1"/>
    <w:next w:val="1"/>
    <w:link w:val="22"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</w:rPr>
  </w:style>
  <w:style w:type="paragraph" w:styleId="7">
    <w:name w:val="heading 7"/>
    <w:basedOn w:val="1"/>
    <w:next w:val="1"/>
    <w:link w:val="21"/>
    <w:unhideWhenUsed/>
    <w:qFormat/>
    <w:uiPriority w:val="9"/>
    <w:pPr>
      <w:keepNext/>
      <w:keepLines/>
      <w:spacing w:before="240" w:after="64" w:line="320" w:lineRule="auto"/>
      <w:outlineLvl w:val="6"/>
    </w:pPr>
    <w:rPr>
      <w:rFonts w:asciiTheme="minorHAnsi" w:hAnsiTheme="minorHAnsi" w:eastAsiaTheme="minorEastAsia" w:cstheme="minorBidi"/>
      <w:b/>
      <w:bCs/>
    </w:rPr>
  </w:style>
  <w:style w:type="paragraph" w:styleId="8">
    <w:name w:val="heading 8"/>
    <w:basedOn w:val="1"/>
    <w:next w:val="1"/>
    <w:link w:val="27"/>
    <w:unhideWhenUsed/>
    <w:qFormat/>
    <w:uiPriority w:val="9"/>
    <w:pPr>
      <w:keepNext/>
      <w:keepLines/>
      <w:spacing w:line="240" w:lineRule="atLeast"/>
      <w:jc w:val="center"/>
      <w:outlineLvl w:val="7"/>
    </w:pPr>
    <w:rPr>
      <w:rFonts w:asciiTheme="majorHAnsi" w:hAnsiTheme="majorHAnsi" w:cstheme="majorBidi"/>
      <w:sz w:val="21"/>
      <w:szCs w:val="24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9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0">
    <w:name w:val="Balloon Text"/>
    <w:basedOn w:val="1"/>
    <w:link w:val="32"/>
    <w:semiHidden/>
    <w:unhideWhenUsed/>
    <w:qFormat/>
    <w:uiPriority w:val="99"/>
    <w:rPr>
      <w:sz w:val="18"/>
      <w:szCs w:val="18"/>
    </w:rPr>
  </w:style>
  <w:style w:type="paragraph" w:styleId="11">
    <w:name w:val="footer"/>
    <w:basedOn w:val="1"/>
    <w:link w:val="1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2">
    <w:name w:val="header"/>
    <w:basedOn w:val="1"/>
    <w:link w:val="1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3">
    <w:name w:val="toc 1"/>
    <w:basedOn w:val="1"/>
    <w:next w:val="1"/>
    <w:unhideWhenUsed/>
    <w:qFormat/>
    <w:uiPriority w:val="39"/>
    <w:pPr>
      <w:widowControl/>
      <w:tabs>
        <w:tab w:val="right" w:leader="dot" w:pos="8296"/>
      </w:tabs>
      <w:spacing w:line="160" w:lineRule="atLeast"/>
      <w:jc w:val="left"/>
    </w:pPr>
    <w:rPr>
      <w:rFonts w:asciiTheme="minorHAnsi" w:hAnsiTheme="minorHAnsi" w:eastAsiaTheme="minorEastAsia"/>
      <w:kern w:val="0"/>
      <w:sz w:val="22"/>
      <w:szCs w:val="22"/>
    </w:rPr>
  </w:style>
  <w:style w:type="paragraph" w:styleId="14">
    <w:name w:val="toc 2"/>
    <w:basedOn w:val="1"/>
    <w:next w:val="1"/>
    <w:unhideWhenUsed/>
    <w:qFormat/>
    <w:uiPriority w:val="39"/>
    <w:pPr>
      <w:widowControl/>
      <w:spacing w:after="100" w:line="259" w:lineRule="auto"/>
      <w:ind w:left="220"/>
      <w:jc w:val="left"/>
    </w:pPr>
    <w:rPr>
      <w:rFonts w:asciiTheme="minorHAnsi" w:hAnsiTheme="minorHAnsi" w:eastAsiaTheme="minorEastAsia"/>
      <w:kern w:val="0"/>
      <w:sz w:val="22"/>
      <w:szCs w:val="22"/>
    </w:rPr>
  </w:style>
  <w:style w:type="character" w:styleId="17">
    <w:name w:val="Hyperlink"/>
    <w:basedOn w:val="16"/>
    <w:unhideWhenUsed/>
    <w:qFormat/>
    <w:uiPriority w:val="99"/>
    <w:rPr>
      <w:color w:val="0563C1" w:themeColor="hyperlink"/>
      <w:u w:val="single"/>
    </w:rPr>
  </w:style>
  <w:style w:type="character" w:customStyle="1" w:styleId="18">
    <w:name w:val="页眉 Char"/>
    <w:basedOn w:val="16"/>
    <w:link w:val="12"/>
    <w:uiPriority w:val="99"/>
    <w:rPr>
      <w:sz w:val="18"/>
      <w:szCs w:val="18"/>
    </w:rPr>
  </w:style>
  <w:style w:type="character" w:customStyle="1" w:styleId="19">
    <w:name w:val="页脚 Char"/>
    <w:basedOn w:val="16"/>
    <w:link w:val="11"/>
    <w:uiPriority w:val="99"/>
    <w:rPr>
      <w:sz w:val="18"/>
      <w:szCs w:val="18"/>
    </w:rPr>
  </w:style>
  <w:style w:type="character" w:customStyle="1" w:styleId="20">
    <w:name w:val="标题 2 Char"/>
    <w:basedOn w:val="16"/>
    <w:link w:val="4"/>
    <w:uiPriority w:val="9"/>
    <w:rPr>
      <w:rFonts w:ascii="仿宋" w:hAnsi="仿宋" w:eastAsia="仿宋" w:cs="Times New Roman"/>
      <w:b/>
      <w:bCs/>
      <w:sz w:val="28"/>
      <w:szCs w:val="28"/>
    </w:rPr>
  </w:style>
  <w:style w:type="character" w:customStyle="1" w:styleId="21">
    <w:name w:val="标题 7 Char"/>
    <w:basedOn w:val="16"/>
    <w:link w:val="7"/>
    <w:uiPriority w:val="9"/>
    <w:rPr>
      <w:b/>
      <w:bCs/>
      <w:sz w:val="24"/>
      <w:szCs w:val="24"/>
    </w:rPr>
  </w:style>
  <w:style w:type="character" w:customStyle="1" w:styleId="22">
    <w:name w:val="标题 6 Char"/>
    <w:basedOn w:val="16"/>
    <w:link w:val="6"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styleId="23">
    <w:name w:val="List Paragraph"/>
    <w:basedOn w:val="1"/>
    <w:qFormat/>
    <w:uiPriority w:val="34"/>
    <w:pPr>
      <w:ind w:firstLine="420" w:firstLineChars="200"/>
    </w:pPr>
  </w:style>
  <w:style w:type="character" w:customStyle="1" w:styleId="24">
    <w:name w:val="标题 3 Char"/>
    <w:basedOn w:val="16"/>
    <w:link w:val="3"/>
    <w:uiPriority w:val="9"/>
    <w:rPr>
      <w:rFonts w:ascii="Times New Roman" w:hAnsi="Times New Roman" w:eastAsia="仿宋" w:cs="Times New Roman"/>
      <w:b/>
      <w:bCs/>
      <w:sz w:val="24"/>
      <w:szCs w:val="32"/>
    </w:rPr>
  </w:style>
  <w:style w:type="character" w:customStyle="1" w:styleId="25">
    <w:name w:val="标题 1 Char"/>
    <w:basedOn w:val="16"/>
    <w:link w:val="2"/>
    <w:uiPriority w:val="9"/>
    <w:rPr>
      <w:rFonts w:ascii="仿宋" w:hAnsi="仿宋" w:eastAsia="仿宋" w:cs="Times New Roman"/>
      <w:b/>
      <w:bCs/>
      <w:sz w:val="32"/>
      <w:szCs w:val="28"/>
    </w:rPr>
  </w:style>
  <w:style w:type="paragraph" w:customStyle="1" w:styleId="26">
    <w:name w:val="TOC Heading"/>
    <w:basedOn w:val="2"/>
    <w:next w:val="1"/>
    <w:unhideWhenUsed/>
    <w:qFormat/>
    <w:uiPriority w:val="39"/>
    <w:pPr>
      <w:widowControl/>
      <w:spacing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F5496" w:themeColor="accent1" w:themeShade="BF"/>
      <w:kern w:val="0"/>
      <w:szCs w:val="32"/>
    </w:rPr>
  </w:style>
  <w:style w:type="character" w:customStyle="1" w:styleId="27">
    <w:name w:val="标题 8 Char"/>
    <w:basedOn w:val="16"/>
    <w:link w:val="8"/>
    <w:qFormat/>
    <w:uiPriority w:val="9"/>
    <w:rPr>
      <w:rFonts w:eastAsia="仿宋" w:asciiTheme="majorHAnsi" w:hAnsiTheme="majorHAnsi" w:cstheme="majorBidi"/>
      <w:szCs w:val="24"/>
    </w:rPr>
  </w:style>
  <w:style w:type="paragraph" w:customStyle="1" w:styleId="28">
    <w:name w:val="图1"/>
    <w:qFormat/>
    <w:uiPriority w:val="0"/>
    <w:pPr>
      <w:jc w:val="center"/>
    </w:pPr>
    <w:rPr>
      <w:rFonts w:eastAsia="仿宋" w:asciiTheme="majorHAnsi" w:hAnsiTheme="majorHAnsi" w:cstheme="majorBidi"/>
      <w:kern w:val="2"/>
      <w:sz w:val="21"/>
      <w:szCs w:val="24"/>
      <w:lang w:val="en-US" w:eastAsia="zh-CN" w:bidi="ar-SA"/>
    </w:rPr>
  </w:style>
  <w:style w:type="character" w:customStyle="1" w:styleId="29">
    <w:name w:val="标题 4 Char"/>
    <w:basedOn w:val="16"/>
    <w:link w:val="5"/>
    <w:qFormat/>
    <w:uiPriority w:val="9"/>
    <w:rPr>
      <w:rFonts w:eastAsia="仿宋" w:asciiTheme="majorHAnsi" w:hAnsiTheme="majorHAnsi" w:cstheme="majorBidi"/>
      <w:b/>
      <w:bCs/>
      <w:sz w:val="24"/>
      <w:szCs w:val="28"/>
    </w:rPr>
  </w:style>
  <w:style w:type="paragraph" w:customStyle="1" w:styleId="30">
    <w:name w:val="图片下标"/>
    <w:basedOn w:val="1"/>
    <w:link w:val="31"/>
    <w:qFormat/>
    <w:uiPriority w:val="0"/>
    <w:pPr>
      <w:jc w:val="center"/>
    </w:pPr>
    <w:rPr>
      <w:sz w:val="21"/>
    </w:rPr>
  </w:style>
  <w:style w:type="character" w:customStyle="1" w:styleId="31">
    <w:name w:val="图片下标 字符"/>
    <w:basedOn w:val="16"/>
    <w:link w:val="30"/>
    <w:qFormat/>
    <w:uiPriority w:val="0"/>
    <w:rPr>
      <w:rFonts w:ascii="仿宋" w:hAnsi="仿宋" w:eastAsia="仿宋" w:cs="Times New Roman"/>
      <w:szCs w:val="28"/>
    </w:rPr>
  </w:style>
  <w:style w:type="character" w:customStyle="1" w:styleId="32">
    <w:name w:val="批注框文本 Char"/>
    <w:basedOn w:val="16"/>
    <w:link w:val="10"/>
    <w:semiHidden/>
    <w:qFormat/>
    <w:uiPriority w:val="99"/>
    <w:rPr>
      <w:rFonts w:ascii="仿宋" w:hAnsi="仿宋" w:eastAsia="仿宋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theme" Target="theme/theme1.xml"/><Relationship Id="rId5" Type="http://schemas.openxmlformats.org/officeDocument/2006/relationships/footer" Target="footer2.xml"/><Relationship Id="rId40" Type="http://schemas.openxmlformats.org/officeDocument/2006/relationships/fontTable" Target="fontTable.xml"/><Relationship Id="rId4" Type="http://schemas.openxmlformats.org/officeDocument/2006/relationships/footer" Target="footer1.xml"/><Relationship Id="rId39" Type="http://schemas.openxmlformats.org/officeDocument/2006/relationships/customXml" Target="../customXml/item1.xml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pn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06DB6C-EABE-4216-B697-E1475D2672F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440</Words>
  <Characters>2512</Characters>
  <Lines>20</Lines>
  <Paragraphs>5</Paragraphs>
  <TotalTime>1588</TotalTime>
  <ScaleCrop>false</ScaleCrop>
  <LinksUpToDate>false</LinksUpToDate>
  <CharactersWithSpaces>2947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2019-12-16T03:39:00Z</dcterms:created>
  <dc:creator>南宁市公共资源交易中心（政府集中采购中心）:刘世伟</dc:creator>
  <cp:lastModifiedBy>Administrator</cp:lastModifiedBy>
  <dcterms:modified xsi:type="dcterms:W3CDTF">2023-03-28T03:38:38Z</dcterms:modified>
  <cp:revision>444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66734853A3D84877AFC71E2C901A0FC2</vt:lpwstr>
  </property>
</Properties>
</file>