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400" w:lineRule="exact"/>
        <w:ind w:firstLine="880" w:firstLineChars="200"/>
        <w:jc w:val="center"/>
        <w:rPr>
          <w:rFonts w:hint="eastAsia" w:ascii="黑体" w:hAnsi="黑体" w:eastAsia="黑体" w:cs="仿宋_GB2312"/>
          <w:b w:val="0"/>
          <w:sz w:val="44"/>
          <w:szCs w:val="44"/>
        </w:rPr>
      </w:pPr>
      <w:bookmarkStart w:id="0" w:name="_GoBack"/>
      <w:bookmarkEnd w:id="0"/>
      <w:r>
        <w:rPr>
          <w:rFonts w:hint="eastAsia" w:ascii="黑体" w:hAnsi="黑体" w:eastAsia="黑体" w:cs="仿宋_GB2312"/>
          <w:b w:val="0"/>
          <w:sz w:val="44"/>
          <w:szCs w:val="44"/>
        </w:rPr>
        <w:t>信用评价指标体系</w:t>
      </w:r>
    </w:p>
    <w:p>
      <w:pPr>
        <w:rPr>
          <w:rFonts w:hint="eastAsia"/>
        </w:rPr>
      </w:pPr>
    </w:p>
    <w:p>
      <w:pPr>
        <w:rPr>
          <w:rFonts w:hint="eastAsia"/>
        </w:rPr>
      </w:pPr>
    </w:p>
    <w:p>
      <w:pPr>
        <w:pStyle w:val="3"/>
        <w:spacing w:before="0" w:after="0" w:line="400" w:lineRule="exact"/>
        <w:ind w:firstLine="643" w:firstLineChars="200"/>
        <w:rPr>
          <w:rFonts w:ascii="仿宋_GB2312" w:hAnsi="仿宋_GB2312" w:eastAsia="仿宋_GB2312" w:cs="仿宋_GB2312"/>
        </w:rPr>
      </w:pPr>
      <w:r>
        <w:rPr>
          <w:rFonts w:hint="eastAsia" w:ascii="仿宋_GB2312" w:hAnsi="仿宋_GB2312" w:eastAsia="仿宋_GB2312" w:cs="仿宋_GB2312"/>
        </w:rPr>
        <w:t>一、采购人评价指标</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评价主体：中标、成交供应商</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评价节点：合同履约完成后。</w:t>
      </w:r>
    </w:p>
    <w:tbl>
      <w:tblPr>
        <w:tblStyle w:val="13"/>
        <w:tblW w:w="9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7950"/>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序号</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评价指标</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采购人涉密信息除外，采购人在公告发布前30日，按《财库〔2020〕10号》文件规定进行采购意向公开。</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采购人按照《财办库〔2020〕50号》文件规定格式内容发布政府采购项目信息。</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采购人落实节能环保、小微企业、监狱企业、残疾人企业等政府采购政策。</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采购人不存在向供应商索要或者接受其给予的赠品、回扣或者与采购无关的其他商品、服务。</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采购需求表述明确、规范完整、无歧义</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采购人设定的资格、技术、商务条件与采购项目的具体特点和实际需要相适应或者与合同履行相关。</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7</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采购人无以特定行政区域或者特定行业的业绩、奖项作为加分条件或者中标、成交条件。</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8</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采购人无非法限定供应商的所有制形式、组织形式或者所在地。</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9</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采购人无要求供应商在政府采购活动前进行不必要的登记、注册，或者要求设立分支机构。</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采购人无设置或者变相设置供应商规模、成立年限等门槛。</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采购人在规定时间内处理供应商的询问、质疑。</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12</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政府采购货物、服务项目无收取投标保证金、履约保证金、质量保证金、电子采购文件费用。</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13</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采购人在中标、成交通知书发出后按采购文件规定时间与中标、成交供应商签订采购合同。</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14</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采购人按采购文件确定的事项与中标、成交供应商签订采购合同。</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15</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采购人无擅自变更、中止或者终止政府采购合同。</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16</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采购人在施工、交货、服务过程中，无设置障碍阻止或影响供应商履约。</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17</w:t>
            </w:r>
          </w:p>
        </w:tc>
        <w:tc>
          <w:tcPr>
            <w:tcW w:w="7950" w:type="dxa"/>
            <w:vAlign w:val="center"/>
          </w:tcPr>
          <w:p>
            <w:pPr>
              <w:spacing w:line="400" w:lineRule="exact"/>
              <w:rPr>
                <w:rFonts w:ascii="仿宋_GB2312" w:hAnsi="仿宋_GB2312" w:eastAsia="仿宋_GB2312" w:cs="仿宋_GB2312"/>
                <w:sz w:val="30"/>
                <w:szCs w:val="30"/>
                <w:highlight w:val="yellow"/>
              </w:rPr>
            </w:pPr>
            <w:r>
              <w:rPr>
                <w:rFonts w:hint="eastAsia" w:ascii="仿宋_GB2312" w:hAnsi="仿宋_GB2312" w:eastAsia="仿宋_GB2312" w:cs="仿宋_GB2312"/>
                <w:sz w:val="30"/>
                <w:szCs w:val="30"/>
              </w:rPr>
              <w:t>采购人无拖延验收时间，或无正当理由不组织履约验收</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18</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采购人对供应商进行合同融资告知提醒并及时配合供应商进行合同融资。</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19</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采购人按照合同约定的付款方式和时间付款。</w:t>
            </w: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55"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小计</w:t>
            </w:r>
          </w:p>
        </w:tc>
        <w:tc>
          <w:tcPr>
            <w:tcW w:w="7950" w:type="dxa"/>
            <w:vAlign w:val="center"/>
          </w:tcPr>
          <w:p>
            <w:pPr>
              <w:spacing w:line="400" w:lineRule="exact"/>
              <w:rPr>
                <w:rFonts w:ascii="仿宋_GB2312" w:hAnsi="仿宋_GB2312" w:eastAsia="仿宋_GB2312" w:cs="仿宋_GB2312"/>
                <w:sz w:val="30"/>
                <w:szCs w:val="30"/>
                <w:highlight w:val="yellow"/>
              </w:rPr>
            </w:pPr>
          </w:p>
        </w:tc>
        <w:tc>
          <w:tcPr>
            <w:tcW w:w="89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100</w:t>
            </w:r>
          </w:p>
        </w:tc>
      </w:tr>
    </w:tbl>
    <w:p>
      <w:pPr>
        <w:spacing w:line="400" w:lineRule="exact"/>
        <w:rPr>
          <w:rFonts w:ascii="仿宋_GB2312" w:hAnsi="仿宋_GB2312" w:eastAsia="仿宋_GB2312" w:cs="仿宋_GB2312"/>
          <w:sz w:val="32"/>
          <w:szCs w:val="32"/>
        </w:rPr>
      </w:pPr>
    </w:p>
    <w:p>
      <w:pPr>
        <w:spacing w:line="4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二、对中标、成交供应商评价指标</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评价主体为：采购人。</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评价节点：合同履约完成后。</w:t>
      </w:r>
    </w:p>
    <w:tbl>
      <w:tblPr>
        <w:tblStyle w:val="13"/>
        <w:tblW w:w="97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795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序号</w:t>
            </w:r>
          </w:p>
        </w:tc>
        <w:tc>
          <w:tcPr>
            <w:tcW w:w="7950"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评价指标</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w:t>
            </w:r>
          </w:p>
        </w:tc>
        <w:tc>
          <w:tcPr>
            <w:tcW w:w="7950"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中标、成交后按规定要求与采购人签订政府采购合同。</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c>
          <w:tcPr>
            <w:tcW w:w="7950"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无擅自将政府采购合同转包、分包行为。</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c>
          <w:tcPr>
            <w:tcW w:w="7950"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无擅自变更、中止或终止政府采购合同。</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w:t>
            </w:r>
          </w:p>
        </w:tc>
        <w:tc>
          <w:tcPr>
            <w:tcW w:w="7950"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供应商不存在提供的货物、工程或服务的质量与合同签订的内容不符或提供假冒伪劣产品的。</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c>
          <w:tcPr>
            <w:tcW w:w="7950"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供应商按照合同约定期限提供货物、工程或服务；不存在以不合理的理由，拖延竣工、交货、交付服务时间的</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c>
          <w:tcPr>
            <w:tcW w:w="7950"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无正当理由向采购人要求追加额外费用的。</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7</w:t>
            </w:r>
          </w:p>
        </w:tc>
        <w:tc>
          <w:tcPr>
            <w:tcW w:w="7950"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供应商不存在无正当理由，拒绝配合履约验收的</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8</w:t>
            </w:r>
          </w:p>
        </w:tc>
        <w:tc>
          <w:tcPr>
            <w:tcW w:w="7950"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供应商不存在在履约过程中，对采购人提出的合同约定合理整改意见拒不整改或故意拖延的。</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9</w:t>
            </w:r>
          </w:p>
        </w:tc>
        <w:tc>
          <w:tcPr>
            <w:tcW w:w="7950"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供应商未存在不配合项目处理质疑的或其它不配合采购项目按采购文件规定的程序实施的情形。</w:t>
            </w: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861"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总分</w:t>
            </w:r>
          </w:p>
        </w:tc>
        <w:tc>
          <w:tcPr>
            <w:tcW w:w="7950"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p>
        </w:tc>
        <w:tc>
          <w:tcPr>
            <w:tcW w:w="900"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100</w:t>
            </w:r>
          </w:p>
        </w:tc>
      </w:tr>
    </w:tbl>
    <w:p>
      <w:pPr>
        <w:pStyle w:val="3"/>
        <w:spacing w:before="0" w:after="0" w:line="400" w:lineRule="exact"/>
        <w:ind w:firstLine="643" w:firstLineChars="200"/>
        <w:rPr>
          <w:rFonts w:ascii="仿宋_GB2312" w:hAnsi="仿宋_GB2312" w:eastAsia="仿宋_GB2312" w:cs="仿宋_GB2312"/>
        </w:rPr>
      </w:pPr>
      <w:r>
        <w:rPr>
          <w:rFonts w:hint="eastAsia" w:ascii="仿宋_GB2312" w:hAnsi="仿宋_GB2312" w:eastAsia="仿宋_GB2312" w:cs="仿宋_GB2312"/>
        </w:rPr>
        <w:t>三、评审专家评价指标</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评价主体为：采购人、代理机构。</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评价节点：项目评审结束后。</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7385"/>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序号</w:t>
            </w:r>
          </w:p>
        </w:tc>
        <w:tc>
          <w:tcPr>
            <w:tcW w:w="7385"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评价指标</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熟悉政府采购法律法规和规章制度规定。</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具备评审相关政府采购项目所需的专业知识及熟练掌握电子化操作技能。</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c>
          <w:tcPr>
            <w:tcW w:w="7385"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确认参与评审后，无缺席现象。如有特殊情况不能参加，提前在系统中请假。</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参加评审时，无迟到或早退现象。</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迟到后未能参加评审的，不向采购代理机构或采购人索要报酬。</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c>
          <w:tcPr>
            <w:tcW w:w="7385"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参与评审时，按要求出示有效身份证明，将手机等通讯设备交由管理人员统一保管。</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7</w:t>
            </w:r>
          </w:p>
        </w:tc>
        <w:tc>
          <w:tcPr>
            <w:tcW w:w="7385"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评审期间服从现场管理，恪尽职守，不擅自与外界联系，不在评审现场高声喧哗或随意走动，遵守现场纪律。</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8</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评审时仔细阅读采购文件，准确理解采购文件要求，打分认真、客观、公正。</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9</w:t>
            </w:r>
          </w:p>
        </w:tc>
        <w:tc>
          <w:tcPr>
            <w:tcW w:w="7385"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评审专家发现采购文件内容违反国家强制性规定或者采购文件存在歧义、重大缺陷导致评审工作无法进行时，停止评审并向采购人或者采购代理机构书面说明情况。</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c>
          <w:tcPr>
            <w:tcW w:w="7385"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对供应商投标(响应)判定为不合格投标(响应)或者对供应商报价判定为无效报价时，详细说明理由。</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c>
          <w:tcPr>
            <w:tcW w:w="7385"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按照规定不接受投标(响应)供应商提出的与投标(响应)文件不一致的澄清或者说明，不接受供应商口头澄清，不接受无法定代表人或其授权代表签字、盖章的澄清或说明。</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12</w:t>
            </w:r>
          </w:p>
        </w:tc>
        <w:tc>
          <w:tcPr>
            <w:tcW w:w="7385"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未出现客观分评审错误。</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13</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未出现评分畸高、畸低现象。</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14</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无故意拖延评审时间行为。</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15</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在评审报告上签字。对报告有异议的，在评审报告签署不同意见并说明理由。</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16</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离开评审现场时未记录、复制或带走任何评审资料。</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17</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不超标准索要劳务报酬、差旅费。</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18</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配合采购人或者采购代理机构答复供应商的询问和质疑。</w:t>
            </w: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3"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总分</w:t>
            </w:r>
          </w:p>
        </w:tc>
        <w:tc>
          <w:tcPr>
            <w:tcW w:w="7385" w:type="dxa"/>
            <w:vAlign w:val="center"/>
          </w:tcPr>
          <w:p>
            <w:pPr>
              <w:pStyle w:val="9"/>
              <w:shd w:val="clear" w:color="auto" w:fill="FFFFFF"/>
              <w:spacing w:line="400" w:lineRule="exact"/>
              <w:rPr>
                <w:rFonts w:ascii="仿宋_GB2312" w:hAnsi="仿宋_GB2312" w:eastAsia="仿宋_GB2312" w:cs="仿宋_GB2312"/>
                <w:sz w:val="30"/>
                <w:szCs w:val="30"/>
              </w:rPr>
            </w:pPr>
          </w:p>
        </w:tc>
        <w:tc>
          <w:tcPr>
            <w:tcW w:w="847"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50</w:t>
            </w:r>
          </w:p>
        </w:tc>
      </w:tr>
    </w:tbl>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1、采购人、采购代理机构应当在评审工作结束后5个工作日内对评审专家进行评价。对第18项指标可以追加做出评价。</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注:2、如专家因迟到或其他原因未能参与评审工作，采购代理机构只对第3项或第5项指标进行评价，评价结果换算为百分制后计入得分。</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3、设置分值注意：采购人、代理机构分别评价，各占50分，最后以双方的总分数计入。</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说明：评审专家应按照标准获取劳务报酬，不得以各种理由要挟并索取超额劳务报酬，如有此现象，视同在评审活动中获取不正当利益，将列为不良行为记录。（符合本条的，无需对其他项评价，直接0分）</w:t>
      </w:r>
    </w:p>
    <w:p>
      <w:pPr>
        <w:spacing w:line="400" w:lineRule="exact"/>
        <w:rPr>
          <w:rFonts w:hint="eastAsia" w:ascii="仿宋_GB2312" w:hAnsi="仿宋_GB2312" w:eastAsia="仿宋_GB2312" w:cs="仿宋_GB2312"/>
          <w:sz w:val="32"/>
          <w:szCs w:val="32"/>
        </w:rPr>
      </w:pPr>
    </w:p>
    <w:p>
      <w:pPr>
        <w:spacing w:line="4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四、代理机构评价指标</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评价主体为：采购人、评审专家、供应商。</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评价节点：项目评审结束后。</w:t>
      </w:r>
    </w:p>
    <w:p>
      <w:pPr>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（一）采购人、评审专家对代理机构的评价指标</w:t>
      </w:r>
    </w:p>
    <w:tbl>
      <w:tblPr>
        <w:tblStyle w:val="13"/>
        <w:tblW w:w="9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972"/>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序号</w:t>
            </w:r>
          </w:p>
        </w:tc>
        <w:tc>
          <w:tcPr>
            <w:tcW w:w="7972" w:type="dxa"/>
            <w:vAlign w:val="center"/>
          </w:tcPr>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评价指标</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w:t>
            </w:r>
          </w:p>
        </w:tc>
        <w:tc>
          <w:tcPr>
            <w:tcW w:w="797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采购代理机构工作人员熟练掌握政府采购各项法律法规和规章制度。</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c>
          <w:tcPr>
            <w:tcW w:w="797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采购代理机构向评审专家准确通知评审时间、地点。评审时间、地点改变后，及时通知评审专家。</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在评审工作开始前，采购代理机构统一保管手机等通讯工具或相关电子设备。</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采购代理机构人员核对评审专家身份和采购人代表授权函。</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采购代理机构提供必要的评审条件及配套的评审环境。</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采购代理机构保障评审活动不受外界干扰。</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7</w:t>
            </w:r>
          </w:p>
        </w:tc>
        <w:tc>
          <w:tcPr>
            <w:tcW w:w="797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采购代理机构人员宣布评审纪律，告知评审专家应当回避的情形，介绍政府采购相关政策法规、采购文件。</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8</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采购文件编制规范、完整。</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9</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采购文件中评审方法和标准符合规定。</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c>
          <w:tcPr>
            <w:tcW w:w="797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采购代理机构督促评审委员会按规定独立评审，及时纠正和制止倾向性言论等违法行为。</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11</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采购代理机构人员未发表任何存在歧视性、倾向性的意见，未非法干预采购评审活动。</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12</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采购代理机构采取必要措施禁止与评审工作无关的人员进入评审现场。</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13</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采购代理机构认真核对评审结果。</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14</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采购代理机构按规定对评审活动进行全程录音、录像。</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15</w:t>
            </w:r>
          </w:p>
        </w:tc>
        <w:tc>
          <w:tcPr>
            <w:tcW w:w="7972" w:type="dxa"/>
            <w:vAlign w:val="center"/>
          </w:tcPr>
          <w:p>
            <w:pPr>
              <w:pStyle w:val="9"/>
              <w:shd w:val="clear" w:color="auto" w:fill="FFFFFF"/>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采购代理机构人员服务过程细致耐心，严格规范。</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16</w:t>
            </w:r>
          </w:p>
        </w:tc>
        <w:tc>
          <w:tcPr>
            <w:tcW w:w="797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采购代理机构接受采购人委托及时按照规定向评审专家支付劳务报酬，或向评审专家说明劳务报酬由采购人支付(对社会代理机构代理项目的评价指标)。</w:t>
            </w: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2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总分</w:t>
            </w:r>
          </w:p>
        </w:tc>
        <w:tc>
          <w:tcPr>
            <w:tcW w:w="797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0"/>
                <w:szCs w:val="30"/>
              </w:rPr>
            </w:pPr>
          </w:p>
        </w:tc>
        <w:tc>
          <w:tcPr>
            <w:tcW w:w="878" w:type="dxa"/>
            <w:vAlign w:val="center"/>
          </w:tcPr>
          <w:p>
            <w:pPr>
              <w:spacing w:line="40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40</w:t>
            </w:r>
          </w:p>
        </w:tc>
      </w:tr>
    </w:tbl>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注:1采购人、评审专家应当在采购活动或评审活动结束后5个工作日内对采购代理机构进行评价。</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（二）供应商对代理机构的评价指标</w:t>
      </w:r>
    </w:p>
    <w:tbl>
      <w:tblPr>
        <w:tblStyle w:val="13"/>
        <w:tblW w:w="9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7832"/>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14"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7832" w:type="dxa"/>
            <w:vAlign w:val="center"/>
          </w:tcPr>
          <w:p>
            <w:pPr>
              <w:spacing w:line="4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评价指标</w:t>
            </w:r>
          </w:p>
        </w:tc>
        <w:tc>
          <w:tcPr>
            <w:tcW w:w="922"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914"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783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代理机构编制的采购文件合法、合规，确定的采购需求明确具体。</w:t>
            </w:r>
          </w:p>
        </w:tc>
        <w:tc>
          <w:tcPr>
            <w:tcW w:w="922"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914"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7832" w:type="dxa"/>
            <w:vAlign w:val="center"/>
          </w:tcPr>
          <w:p>
            <w:pPr>
              <w:pStyle w:val="10"/>
              <w:shd w:val="clear" w:color="auto" w:fill="FFFFFF"/>
              <w:spacing w:before="0" w:beforeAutospacing="0" w:after="0" w:afterAutospacing="0" w:line="4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评审标准设置科学、合理。</w:t>
            </w:r>
          </w:p>
        </w:tc>
        <w:tc>
          <w:tcPr>
            <w:tcW w:w="922"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14"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7832" w:type="dxa"/>
            <w:vAlign w:val="center"/>
          </w:tcPr>
          <w:p>
            <w:pPr>
              <w:pStyle w:val="9"/>
              <w:shd w:val="clear" w:color="auto" w:fill="FFFFFF"/>
              <w:spacing w:line="4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对供应商提出的询问、质疑及时合理答复。</w:t>
            </w:r>
          </w:p>
        </w:tc>
        <w:tc>
          <w:tcPr>
            <w:tcW w:w="922"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914"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7832" w:type="dxa"/>
            <w:vAlign w:val="center"/>
          </w:tcPr>
          <w:p>
            <w:pPr>
              <w:pStyle w:val="9"/>
              <w:shd w:val="clear" w:color="auto" w:fill="FFFFFF"/>
              <w:spacing w:line="4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未向供应商索取无正当理由的费用。</w:t>
            </w:r>
          </w:p>
        </w:tc>
        <w:tc>
          <w:tcPr>
            <w:tcW w:w="922"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14"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7832" w:type="dxa"/>
            <w:vAlign w:val="center"/>
          </w:tcPr>
          <w:p>
            <w:pPr>
              <w:pStyle w:val="9"/>
              <w:shd w:val="clear" w:color="auto" w:fill="FFFFFF"/>
              <w:spacing w:line="4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采购活动中服务过程细致耐心，严格规范。</w:t>
            </w:r>
          </w:p>
        </w:tc>
        <w:tc>
          <w:tcPr>
            <w:tcW w:w="922"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914"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总分</w:t>
            </w:r>
          </w:p>
        </w:tc>
        <w:tc>
          <w:tcPr>
            <w:tcW w:w="7832" w:type="dxa"/>
            <w:vAlign w:val="center"/>
          </w:tcPr>
          <w:p>
            <w:pPr>
              <w:pStyle w:val="9"/>
              <w:shd w:val="clear" w:color="auto" w:fill="FFFFFF"/>
              <w:spacing w:line="400" w:lineRule="exact"/>
              <w:rPr>
                <w:rFonts w:ascii="仿宋_GB2312" w:hAnsi="仿宋_GB2312" w:eastAsia="仿宋_GB2312" w:cs="仿宋_GB2312"/>
                <w:sz w:val="32"/>
                <w:szCs w:val="32"/>
              </w:rPr>
            </w:pPr>
          </w:p>
        </w:tc>
        <w:tc>
          <w:tcPr>
            <w:tcW w:w="922" w:type="dxa"/>
            <w:vAlign w:val="center"/>
          </w:tcPr>
          <w:p>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w:t>
            </w:r>
          </w:p>
        </w:tc>
      </w:tr>
    </w:tbl>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1、供应商可以在采购活动结束后5个工作日内对代理机构进行评价。</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2、设置分置注意：采购人、评审专家、供应商三方各自评价，采购人占40分，评审专家占40分，供应商占20分。最后以三方合计分计入。</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其他说明事项：1、评审专家全部参与评价,将多位专家的分数以平均分计入；无故不参与评价的专家按满分计算。</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2、一个项目多家供应商的将每家供应商的分数以平均分计入。</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3、评价模块中加入“其它事项”说明。</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r>
        <w:rPr>
          <w:rFonts w:hint="eastAsia" w:ascii="仿宋_GB2312" w:hAnsi="仿宋_GB2312" w:eastAsia="仿宋_GB2312" w:cs="仿宋_GB2312"/>
          <w:sz w:val="32"/>
          <w:szCs w:val="32"/>
        </w:rPr>
        <w:t>4、相关评价主体应积极参加评价(以何种方式约束)</w:t>
      </w:r>
    </w:p>
    <w:p>
      <w:pPr>
        <w:pStyle w:val="10"/>
        <w:shd w:val="clear" w:color="auto" w:fill="FFFFFF"/>
        <w:spacing w:before="0" w:beforeAutospacing="0" w:after="0" w:afterAutospacing="0" w:line="400" w:lineRule="exact"/>
        <w:ind w:firstLine="357"/>
        <w:rPr>
          <w:rFonts w:ascii="仿宋_GB2312" w:hAnsi="仿宋_GB2312" w:eastAsia="仿宋_GB2312" w:cs="仿宋_GB2312"/>
          <w:sz w:val="32"/>
          <w:szCs w:val="32"/>
        </w:rPr>
      </w:pPr>
    </w:p>
    <w:sectPr>
      <w:footerReference r:id="rId3" w:type="default"/>
      <w:pgSz w:w="11900" w:h="16840"/>
      <w:pgMar w:top="1440" w:right="1361" w:bottom="1440" w:left="147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4679106"/>
    </w:sdtPr>
    <w:sdtContent>
      <w:p>
        <w:pPr>
          <w:pStyle w:val="7"/>
          <w:jc w:val="center"/>
        </w:pPr>
      </w:p>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NzVlOTEzYTMxZDAwNDQ3YzkyNDQzYjMwMjFiYmJiZTkifQ=="/>
  </w:docVars>
  <w:rsids>
    <w:rsidRoot w:val="007E7562"/>
    <w:rsid w:val="00022F62"/>
    <w:rsid w:val="000273B8"/>
    <w:rsid w:val="00032F49"/>
    <w:rsid w:val="00033024"/>
    <w:rsid w:val="00062C53"/>
    <w:rsid w:val="000A2EBF"/>
    <w:rsid w:val="000B27B4"/>
    <w:rsid w:val="000D4ECE"/>
    <w:rsid w:val="00104B40"/>
    <w:rsid w:val="0010713C"/>
    <w:rsid w:val="0013142B"/>
    <w:rsid w:val="00150BBC"/>
    <w:rsid w:val="00166712"/>
    <w:rsid w:val="00180789"/>
    <w:rsid w:val="001B6C77"/>
    <w:rsid w:val="001C16B1"/>
    <w:rsid w:val="001E4711"/>
    <w:rsid w:val="001F7FB3"/>
    <w:rsid w:val="00203E7B"/>
    <w:rsid w:val="002175FB"/>
    <w:rsid w:val="0023043F"/>
    <w:rsid w:val="00240B44"/>
    <w:rsid w:val="00260B3E"/>
    <w:rsid w:val="00261335"/>
    <w:rsid w:val="002847DF"/>
    <w:rsid w:val="002B550A"/>
    <w:rsid w:val="002D2927"/>
    <w:rsid w:val="002F4A93"/>
    <w:rsid w:val="00306AC4"/>
    <w:rsid w:val="003113A4"/>
    <w:rsid w:val="00314877"/>
    <w:rsid w:val="0033140C"/>
    <w:rsid w:val="00336F9E"/>
    <w:rsid w:val="0034687D"/>
    <w:rsid w:val="003772B1"/>
    <w:rsid w:val="0039047F"/>
    <w:rsid w:val="003C22B8"/>
    <w:rsid w:val="003D1AD2"/>
    <w:rsid w:val="003E1B08"/>
    <w:rsid w:val="003E7944"/>
    <w:rsid w:val="003F2901"/>
    <w:rsid w:val="00403EA9"/>
    <w:rsid w:val="004128C4"/>
    <w:rsid w:val="004A50B6"/>
    <w:rsid w:val="004D5EFE"/>
    <w:rsid w:val="004E6395"/>
    <w:rsid w:val="004E6FAA"/>
    <w:rsid w:val="004E790F"/>
    <w:rsid w:val="00520E66"/>
    <w:rsid w:val="00542E1A"/>
    <w:rsid w:val="00545ACD"/>
    <w:rsid w:val="00555996"/>
    <w:rsid w:val="005608AB"/>
    <w:rsid w:val="00562338"/>
    <w:rsid w:val="005668D1"/>
    <w:rsid w:val="0058461D"/>
    <w:rsid w:val="005B2377"/>
    <w:rsid w:val="005B6C0D"/>
    <w:rsid w:val="005B7C84"/>
    <w:rsid w:val="005C7509"/>
    <w:rsid w:val="005F5D37"/>
    <w:rsid w:val="00614EDF"/>
    <w:rsid w:val="006332A3"/>
    <w:rsid w:val="00642E0A"/>
    <w:rsid w:val="00656D65"/>
    <w:rsid w:val="006672C2"/>
    <w:rsid w:val="006B74F2"/>
    <w:rsid w:val="006C2FF5"/>
    <w:rsid w:val="006E387A"/>
    <w:rsid w:val="006F00F1"/>
    <w:rsid w:val="00705AB6"/>
    <w:rsid w:val="00757A9C"/>
    <w:rsid w:val="0076017D"/>
    <w:rsid w:val="0077131D"/>
    <w:rsid w:val="007848D9"/>
    <w:rsid w:val="00792E7C"/>
    <w:rsid w:val="007A14B2"/>
    <w:rsid w:val="007E0774"/>
    <w:rsid w:val="007E7562"/>
    <w:rsid w:val="008041B6"/>
    <w:rsid w:val="00810CA0"/>
    <w:rsid w:val="00831C81"/>
    <w:rsid w:val="008404A7"/>
    <w:rsid w:val="00865A91"/>
    <w:rsid w:val="00881E43"/>
    <w:rsid w:val="0089679E"/>
    <w:rsid w:val="008B3585"/>
    <w:rsid w:val="008E6DB7"/>
    <w:rsid w:val="008E781E"/>
    <w:rsid w:val="00904E7A"/>
    <w:rsid w:val="00910C5E"/>
    <w:rsid w:val="009240DA"/>
    <w:rsid w:val="0093099E"/>
    <w:rsid w:val="00934911"/>
    <w:rsid w:val="00936C9B"/>
    <w:rsid w:val="009439FD"/>
    <w:rsid w:val="0095636B"/>
    <w:rsid w:val="009740B0"/>
    <w:rsid w:val="009B116E"/>
    <w:rsid w:val="009D36C4"/>
    <w:rsid w:val="009D4916"/>
    <w:rsid w:val="00A25588"/>
    <w:rsid w:val="00A63B5C"/>
    <w:rsid w:val="00A84483"/>
    <w:rsid w:val="00A8576D"/>
    <w:rsid w:val="00A944C6"/>
    <w:rsid w:val="00AA73E3"/>
    <w:rsid w:val="00AB1F1A"/>
    <w:rsid w:val="00AB3F8A"/>
    <w:rsid w:val="00AD02A5"/>
    <w:rsid w:val="00AF154F"/>
    <w:rsid w:val="00B01B0B"/>
    <w:rsid w:val="00B042A2"/>
    <w:rsid w:val="00B05A37"/>
    <w:rsid w:val="00B1787F"/>
    <w:rsid w:val="00B47F31"/>
    <w:rsid w:val="00B7273B"/>
    <w:rsid w:val="00B84D04"/>
    <w:rsid w:val="00B9421E"/>
    <w:rsid w:val="00B94FAA"/>
    <w:rsid w:val="00B972FE"/>
    <w:rsid w:val="00BB3BB8"/>
    <w:rsid w:val="00BC1788"/>
    <w:rsid w:val="00BD43F9"/>
    <w:rsid w:val="00BF340D"/>
    <w:rsid w:val="00C02FF2"/>
    <w:rsid w:val="00C26B58"/>
    <w:rsid w:val="00C378A6"/>
    <w:rsid w:val="00C77F34"/>
    <w:rsid w:val="00C92669"/>
    <w:rsid w:val="00CD2334"/>
    <w:rsid w:val="00CF2845"/>
    <w:rsid w:val="00D02ADD"/>
    <w:rsid w:val="00D12616"/>
    <w:rsid w:val="00D40DFD"/>
    <w:rsid w:val="00D430BD"/>
    <w:rsid w:val="00D633A9"/>
    <w:rsid w:val="00DB32CD"/>
    <w:rsid w:val="00DC0F75"/>
    <w:rsid w:val="00DD1183"/>
    <w:rsid w:val="00DD5251"/>
    <w:rsid w:val="00E12196"/>
    <w:rsid w:val="00E21EAD"/>
    <w:rsid w:val="00E324AB"/>
    <w:rsid w:val="00E33182"/>
    <w:rsid w:val="00E368E8"/>
    <w:rsid w:val="00E44DBE"/>
    <w:rsid w:val="00E5259C"/>
    <w:rsid w:val="00E70301"/>
    <w:rsid w:val="00E81693"/>
    <w:rsid w:val="00E86351"/>
    <w:rsid w:val="00E967F5"/>
    <w:rsid w:val="00EA74B7"/>
    <w:rsid w:val="00EE6E0B"/>
    <w:rsid w:val="00F04ADA"/>
    <w:rsid w:val="00F05D00"/>
    <w:rsid w:val="00F955E8"/>
    <w:rsid w:val="00F95D6B"/>
    <w:rsid w:val="00FA5060"/>
    <w:rsid w:val="00FA568C"/>
    <w:rsid w:val="00FE2766"/>
    <w:rsid w:val="06E81C7F"/>
    <w:rsid w:val="0ECF4407"/>
    <w:rsid w:val="0F3E6154"/>
    <w:rsid w:val="1D435C4B"/>
    <w:rsid w:val="35366BAC"/>
    <w:rsid w:val="3B043F82"/>
    <w:rsid w:val="6B5E1BD9"/>
    <w:rsid w:val="79EB0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qFormat/>
    <w:uiPriority w:val="99"/>
  </w:style>
  <w:style w:type="paragraph" w:styleId="6">
    <w:name w:val="Balloon Text"/>
    <w:basedOn w:val="1"/>
    <w:link w:val="25"/>
    <w:semiHidden/>
    <w:unhideWhenUsed/>
    <w:uiPriority w:val="99"/>
    <w:rPr>
      <w:sz w:val="18"/>
      <w:szCs w:val="18"/>
    </w:rPr>
  </w:style>
  <w:style w:type="paragraph" w:styleId="7">
    <w:name w:val="footer"/>
    <w:basedOn w:val="1"/>
    <w:link w:val="24"/>
    <w:unhideWhenUsed/>
    <w:qFormat/>
    <w:uiPriority w:val="99"/>
    <w:pPr>
      <w:tabs>
        <w:tab w:val="center" w:pos="4153"/>
        <w:tab w:val="right" w:pos="8306"/>
      </w:tabs>
      <w:snapToGrid w:val="0"/>
    </w:pPr>
    <w:rPr>
      <w:sz w:val="18"/>
      <w:szCs w:val="18"/>
    </w:rPr>
  </w:style>
  <w:style w:type="paragraph" w:styleId="8">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10">
    <w:name w:val="Normal (Web)"/>
    <w:basedOn w:val="1"/>
    <w:unhideWhenUsed/>
    <w:qFormat/>
    <w:uiPriority w:val="99"/>
    <w:pPr>
      <w:spacing w:before="100" w:beforeAutospacing="1" w:after="100" w:afterAutospacing="1"/>
    </w:pPr>
    <w:rPr>
      <w:rFonts w:ascii="宋体" w:hAnsi="宋体" w:eastAsia="宋体" w:cs="宋体"/>
    </w:rPr>
  </w:style>
  <w:style w:type="paragraph" w:styleId="11">
    <w:name w:val="annotation subject"/>
    <w:basedOn w:val="5"/>
    <w:next w:val="5"/>
    <w:link w:val="21"/>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annotation reference"/>
    <w:basedOn w:val="14"/>
    <w:semiHidden/>
    <w:unhideWhenUsed/>
    <w:qFormat/>
    <w:uiPriority w:val="99"/>
    <w:rPr>
      <w:sz w:val="21"/>
      <w:szCs w:val="21"/>
    </w:rPr>
  </w:style>
  <w:style w:type="paragraph" w:styleId="16">
    <w:name w:val="List Paragraph"/>
    <w:basedOn w:val="1"/>
    <w:qFormat/>
    <w:uiPriority w:val="34"/>
    <w:pPr>
      <w:ind w:firstLine="420" w:firstLineChars="200"/>
    </w:pPr>
  </w:style>
  <w:style w:type="character" w:customStyle="1" w:styleId="17">
    <w:name w:val="标题 1 Char"/>
    <w:basedOn w:val="14"/>
    <w:link w:val="2"/>
    <w:uiPriority w:val="9"/>
    <w:rPr>
      <w:b/>
      <w:bCs/>
      <w:kern w:val="44"/>
      <w:sz w:val="44"/>
      <w:szCs w:val="44"/>
    </w:rPr>
  </w:style>
  <w:style w:type="character" w:customStyle="1" w:styleId="18">
    <w:name w:val="标题 2 Char"/>
    <w:basedOn w:val="14"/>
    <w:link w:val="3"/>
    <w:uiPriority w:val="9"/>
    <w:rPr>
      <w:rFonts w:asciiTheme="majorHAnsi" w:hAnsiTheme="majorHAnsi" w:eastAsiaTheme="majorEastAsia" w:cstheme="majorBidi"/>
      <w:b/>
      <w:bCs/>
      <w:sz w:val="32"/>
      <w:szCs w:val="32"/>
    </w:rPr>
  </w:style>
  <w:style w:type="character" w:customStyle="1" w:styleId="19">
    <w:name w:val="标题 3 Char"/>
    <w:basedOn w:val="14"/>
    <w:link w:val="4"/>
    <w:uiPriority w:val="9"/>
    <w:rPr>
      <w:b/>
      <w:bCs/>
      <w:sz w:val="32"/>
      <w:szCs w:val="32"/>
    </w:rPr>
  </w:style>
  <w:style w:type="character" w:customStyle="1" w:styleId="20">
    <w:name w:val="批注文字 Char"/>
    <w:basedOn w:val="14"/>
    <w:link w:val="5"/>
    <w:semiHidden/>
    <w:uiPriority w:val="99"/>
  </w:style>
  <w:style w:type="character" w:customStyle="1" w:styleId="21">
    <w:name w:val="批注主题 Char"/>
    <w:basedOn w:val="20"/>
    <w:link w:val="11"/>
    <w:semiHidden/>
    <w:uiPriority w:val="99"/>
    <w:rPr>
      <w:b/>
      <w:bCs/>
    </w:rPr>
  </w:style>
  <w:style w:type="character" w:customStyle="1" w:styleId="22">
    <w:name w:val="HTML 预设格式 Char"/>
    <w:basedOn w:val="14"/>
    <w:link w:val="9"/>
    <w:uiPriority w:val="99"/>
    <w:rPr>
      <w:rFonts w:ascii="宋体" w:hAnsi="宋体" w:eastAsia="宋体" w:cs="宋体"/>
    </w:rPr>
  </w:style>
  <w:style w:type="character" w:customStyle="1" w:styleId="23">
    <w:name w:val="页眉 Char"/>
    <w:basedOn w:val="14"/>
    <w:link w:val="8"/>
    <w:uiPriority w:val="99"/>
    <w:rPr>
      <w:sz w:val="18"/>
      <w:szCs w:val="18"/>
    </w:rPr>
  </w:style>
  <w:style w:type="character" w:customStyle="1" w:styleId="24">
    <w:name w:val="页脚 Char"/>
    <w:basedOn w:val="14"/>
    <w:link w:val="7"/>
    <w:uiPriority w:val="99"/>
    <w:rPr>
      <w:sz w:val="18"/>
      <w:szCs w:val="18"/>
    </w:rPr>
  </w:style>
  <w:style w:type="character" w:customStyle="1" w:styleId="25">
    <w:name w:val="批注框文本 Char"/>
    <w:basedOn w:val="14"/>
    <w:link w:val="6"/>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496</Words>
  <Characters>2830</Characters>
  <Lines>23</Lines>
  <Paragraphs>6</Paragraphs>
  <TotalTime>82</TotalTime>
  <ScaleCrop>false</ScaleCrop>
  <LinksUpToDate>false</LinksUpToDate>
  <CharactersWithSpaces>3320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2016-11-19T00:45:00Z</dcterms:created>
  <dc:creator>peng liu</dc:creator>
  <cp:lastModifiedBy>Administrator</cp:lastModifiedBy>
  <cp:lastPrinted>2022-12-12T01:50:00Z</cp:lastPrinted>
  <dcterms:modified xsi:type="dcterms:W3CDTF">2023-03-28T03:16:29Z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8DD621A2A89C43F48E8413CED6679CC6</vt:lpwstr>
  </property>
</Properties>
</file>